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D2B" w:rsidRPr="00E962E9" w:rsidRDefault="00E962E9" w:rsidP="00E962E9">
      <w:pPr>
        <w:tabs>
          <w:tab w:val="left" w:pos="4253"/>
        </w:tabs>
        <w:spacing w:before="480" w:beforeAutospacing="0"/>
        <w:jc w:val="center"/>
        <w:rPr>
          <w:b/>
          <w:sz w:val="36"/>
          <w:szCs w:val="36"/>
        </w:rPr>
      </w:pPr>
      <w:r w:rsidRPr="00E962E9">
        <w:rPr>
          <w:b/>
          <w:sz w:val="36"/>
          <w:szCs w:val="36"/>
        </w:rPr>
        <w:t>SINTESE PRIMO SEMESTRE</w:t>
      </w:r>
    </w:p>
    <w:p w:rsidR="00E962E9" w:rsidRDefault="00E962E9" w:rsidP="00E962E9">
      <w:pPr>
        <w:autoSpaceDE w:val="0"/>
        <w:autoSpaceDN w:val="0"/>
        <w:adjustRightInd w:val="0"/>
        <w:spacing w:after="0"/>
        <w:ind w:left="142" w:right="114"/>
        <w:jc w:val="both"/>
        <w:rPr>
          <w:rFonts w:cstheme="minorHAnsi"/>
          <w:b/>
          <w:bCs/>
          <w:lang w:val="it-IT"/>
        </w:rPr>
      </w:pPr>
      <w:r>
        <w:rPr>
          <w:rFonts w:cstheme="minorHAnsi"/>
          <w:lang w:val="it-IT"/>
        </w:rPr>
        <w:t xml:space="preserve">Go SMart Med </w:t>
      </w:r>
      <w:r w:rsidRPr="00466732">
        <w:rPr>
          <w:rFonts w:cstheme="minorHAnsi"/>
          <w:lang w:val="it-IT"/>
        </w:rPr>
        <w:t xml:space="preserve">nasce per contribuire a sviluppare un sistema di trasporto marittimo merci coordinato ed efficiente nel Mediterraneo occidentale che sia in grado di migliorare la connessione dei nodi secondari e terziari dell’area di cooperazione alle reti TEN-T e mitigare l’isolamento dei territori periferici e insulari. </w:t>
      </w:r>
      <w:r w:rsidRPr="00747617">
        <w:rPr>
          <w:rFonts w:cstheme="minorHAnsi"/>
          <w:lang w:val="it-IT"/>
        </w:rPr>
        <w:t>A tal fine, Go SmarT Med realizza uno studio di fattibilità che verifica il grado di efficienza di un nuovo sistema di servizi marittimi coordinati ed integrati, utilizzando dati reali di domanda e offerta provenienti da indagini ed interviste dirette e indirette ai vari attori coinvolti nella supply chain.</w:t>
      </w:r>
      <w:r w:rsidRPr="00466732">
        <w:rPr>
          <w:rFonts w:cstheme="minorHAnsi"/>
          <w:b/>
          <w:bCs/>
          <w:lang w:val="it-IT"/>
        </w:rPr>
        <w:t xml:space="preserve"> </w:t>
      </w:r>
    </w:p>
    <w:p w:rsidR="00E962E9" w:rsidRDefault="00E962E9" w:rsidP="00E962E9">
      <w:pPr>
        <w:autoSpaceDE w:val="0"/>
        <w:autoSpaceDN w:val="0"/>
        <w:adjustRightInd w:val="0"/>
        <w:spacing w:after="0"/>
        <w:ind w:left="142" w:right="114"/>
        <w:jc w:val="both"/>
        <w:rPr>
          <w:rFonts w:cstheme="minorHAnsi"/>
          <w:lang w:val="it-IT"/>
        </w:rPr>
      </w:pPr>
      <w:r>
        <w:rPr>
          <w:rFonts w:cstheme="minorHAnsi"/>
          <w:lang w:val="it-IT"/>
        </w:rPr>
        <w:t xml:space="preserve">A tale scopo la prima fase del progetto è stata dedicata all’acquisizione e all’analisi della domanda e </w:t>
      </w:r>
      <w:r w:rsidRPr="005D1425">
        <w:rPr>
          <w:rFonts w:cstheme="minorHAnsi"/>
          <w:lang w:val="it-IT"/>
        </w:rPr>
        <w:t>dell’offerta di trasporto marittimo caratterizzanti lo scenario attuale</w:t>
      </w:r>
      <w:r>
        <w:rPr>
          <w:rFonts w:cstheme="minorHAnsi"/>
          <w:lang w:val="it-IT"/>
        </w:rPr>
        <w:t xml:space="preserve"> al</w:t>
      </w:r>
      <w:r w:rsidRPr="005D1425">
        <w:rPr>
          <w:rFonts w:cstheme="minorHAnsi"/>
          <w:lang w:val="it-IT"/>
        </w:rPr>
        <w:t xml:space="preserve">lo scopo di potenziare il livello di conoscenza </w:t>
      </w:r>
      <w:r>
        <w:rPr>
          <w:rFonts w:cstheme="minorHAnsi"/>
          <w:lang w:val="it-IT"/>
        </w:rPr>
        <w:t xml:space="preserve">sul sistema d’intervento e fornire il substrato necessario allo sviluppo delle azioni progettuali e alla valutazione della loro </w:t>
      </w:r>
      <w:r w:rsidRPr="00466732">
        <w:rPr>
          <w:rFonts w:cstheme="minorHAnsi"/>
          <w:lang w:val="it-IT"/>
        </w:rPr>
        <w:t>efficacia e del</w:t>
      </w:r>
      <w:r>
        <w:rPr>
          <w:rFonts w:cstheme="minorHAnsi"/>
          <w:lang w:val="it-IT"/>
        </w:rPr>
        <w:t xml:space="preserve"> loro </w:t>
      </w:r>
      <w:r w:rsidRPr="00466732">
        <w:rPr>
          <w:rFonts w:cstheme="minorHAnsi"/>
          <w:lang w:val="it-IT"/>
        </w:rPr>
        <w:t>impatto.</w:t>
      </w:r>
    </w:p>
    <w:p w:rsidR="00E962E9" w:rsidRDefault="00E962E9" w:rsidP="00E962E9">
      <w:pPr>
        <w:autoSpaceDE w:val="0"/>
        <w:autoSpaceDN w:val="0"/>
        <w:adjustRightInd w:val="0"/>
        <w:spacing w:after="0"/>
        <w:ind w:left="142" w:right="114"/>
        <w:jc w:val="both"/>
        <w:rPr>
          <w:rFonts w:cstheme="minorHAnsi"/>
          <w:lang w:val="it-IT"/>
        </w:rPr>
      </w:pPr>
      <w:r>
        <w:rPr>
          <w:rFonts w:cstheme="minorHAnsi"/>
          <w:lang w:val="it-IT"/>
        </w:rPr>
        <w:t>Le attività di analisi condotte nella prima fase del progetto hanno riguardato:</w:t>
      </w:r>
    </w:p>
    <w:p w:rsidR="00E962E9" w:rsidRDefault="00E962E9" w:rsidP="00E962E9">
      <w:pPr>
        <w:pStyle w:val="TableParagraph"/>
        <w:numPr>
          <w:ilvl w:val="0"/>
          <w:numId w:val="1"/>
        </w:numPr>
        <w:spacing w:before="120" w:after="120" w:line="276" w:lineRule="auto"/>
        <w:ind w:left="709" w:right="113" w:hanging="567"/>
        <w:jc w:val="both"/>
        <w:rPr>
          <w:rFonts w:asciiTheme="minorHAnsi" w:hAnsiTheme="minorHAnsi" w:cstheme="minorHAnsi"/>
          <w:lang w:val="it-IT"/>
        </w:rPr>
      </w:pPr>
      <w:r w:rsidRPr="00ED2CE3">
        <w:rPr>
          <w:rFonts w:asciiTheme="minorHAnsi" w:hAnsiTheme="minorHAnsi" w:cstheme="minorHAnsi"/>
          <w:b/>
          <w:lang w:val="it-IT"/>
        </w:rPr>
        <w:t xml:space="preserve">Analisi della domanda di trasporto merci </w:t>
      </w:r>
      <w:r w:rsidRPr="005D1425">
        <w:rPr>
          <w:rFonts w:asciiTheme="minorHAnsi" w:hAnsiTheme="minorHAnsi" w:cstheme="minorHAnsi"/>
          <w:lang w:val="it-IT"/>
        </w:rPr>
        <w:t>marittimo nelle regioni dell’area di cooperazione</w:t>
      </w:r>
      <w:r>
        <w:rPr>
          <w:rFonts w:asciiTheme="minorHAnsi" w:hAnsiTheme="minorHAnsi" w:cstheme="minorHAnsi"/>
          <w:lang w:val="it-IT"/>
        </w:rPr>
        <w:t>;</w:t>
      </w:r>
    </w:p>
    <w:p w:rsidR="00E962E9" w:rsidRPr="005D1425" w:rsidRDefault="00E962E9" w:rsidP="00E962E9">
      <w:pPr>
        <w:autoSpaceDE w:val="0"/>
        <w:autoSpaceDN w:val="0"/>
        <w:adjustRightInd w:val="0"/>
        <w:spacing w:after="0"/>
        <w:ind w:left="142" w:right="114"/>
        <w:jc w:val="both"/>
        <w:rPr>
          <w:rFonts w:cstheme="minorHAnsi"/>
          <w:lang w:val="it-IT"/>
        </w:rPr>
      </w:pPr>
      <w:r w:rsidRPr="005D1425">
        <w:rPr>
          <w:rFonts w:cstheme="minorHAnsi"/>
          <w:lang w:val="it-IT"/>
        </w:rPr>
        <w:t xml:space="preserve">L’analisi della domanda di trasporto merci nell’area di cooperazione ha </w:t>
      </w:r>
      <w:r>
        <w:rPr>
          <w:rFonts w:cstheme="minorHAnsi"/>
          <w:lang w:val="it-IT"/>
        </w:rPr>
        <w:t xml:space="preserve">avuto </w:t>
      </w:r>
      <w:r w:rsidRPr="005D1425">
        <w:rPr>
          <w:rFonts w:cstheme="minorHAnsi"/>
          <w:lang w:val="it-IT"/>
        </w:rPr>
        <w:t xml:space="preserve">lo scopo di </w:t>
      </w:r>
      <w:r>
        <w:rPr>
          <w:rFonts w:cstheme="minorHAnsi"/>
          <w:lang w:val="it-IT"/>
        </w:rPr>
        <w:t>produrre una panoramica del</w:t>
      </w:r>
      <w:r w:rsidRPr="005D1425">
        <w:rPr>
          <w:rFonts w:cstheme="minorHAnsi"/>
          <w:lang w:val="it-IT"/>
        </w:rPr>
        <w:t xml:space="preserve">le relazioni </w:t>
      </w:r>
      <w:r>
        <w:rPr>
          <w:rFonts w:cstheme="minorHAnsi"/>
          <w:lang w:val="it-IT"/>
        </w:rPr>
        <w:t xml:space="preserve">di scambio </w:t>
      </w:r>
      <w:r w:rsidRPr="005D1425">
        <w:rPr>
          <w:rFonts w:cstheme="minorHAnsi"/>
          <w:lang w:val="it-IT"/>
        </w:rPr>
        <w:t xml:space="preserve">tra </w:t>
      </w:r>
      <w:r>
        <w:rPr>
          <w:rFonts w:cstheme="minorHAnsi"/>
          <w:lang w:val="it-IT"/>
        </w:rPr>
        <w:t>le</w:t>
      </w:r>
      <w:r w:rsidRPr="005D1425">
        <w:rPr>
          <w:rFonts w:cstheme="minorHAnsi"/>
          <w:lang w:val="it-IT"/>
        </w:rPr>
        <w:t xml:space="preserve"> 6 regioni Go SMarT Med in termini di interscambio commerciale marittimo (e non) e di dettagliare l’andamento dei traffici, Ro-Ro e container, tra i porti della rete Go SMarT Med.</w:t>
      </w:r>
      <w:r>
        <w:rPr>
          <w:rFonts w:cstheme="minorHAnsi"/>
          <w:lang w:val="it-IT"/>
        </w:rPr>
        <w:t xml:space="preserve"> </w:t>
      </w:r>
      <w:r w:rsidRPr="005D1425">
        <w:rPr>
          <w:rFonts w:cstheme="minorHAnsi"/>
          <w:lang w:val="it-IT"/>
        </w:rPr>
        <w:t xml:space="preserve">L’attività di analisi </w:t>
      </w:r>
      <w:r>
        <w:rPr>
          <w:rFonts w:cstheme="minorHAnsi"/>
          <w:lang w:val="it-IT"/>
        </w:rPr>
        <w:t>della domanda ha riguardato</w:t>
      </w:r>
      <w:r w:rsidRPr="005D1425">
        <w:rPr>
          <w:rFonts w:cstheme="minorHAnsi"/>
          <w:lang w:val="it-IT"/>
        </w:rPr>
        <w:t>:</w:t>
      </w:r>
    </w:p>
    <w:p w:rsidR="00E962E9" w:rsidRPr="005D1425" w:rsidRDefault="00E962E9" w:rsidP="00E962E9">
      <w:pPr>
        <w:pStyle w:val="Paragraphedeliste"/>
        <w:numPr>
          <w:ilvl w:val="0"/>
          <w:numId w:val="2"/>
        </w:numPr>
        <w:spacing w:line="276" w:lineRule="auto"/>
        <w:ind w:left="142" w:right="114" w:hanging="284"/>
        <w:jc w:val="both"/>
        <w:rPr>
          <w:rFonts w:asciiTheme="minorHAnsi" w:hAnsiTheme="minorHAnsi" w:cstheme="minorHAnsi"/>
          <w:lang w:val="it-IT"/>
        </w:rPr>
      </w:pPr>
      <w:r w:rsidRPr="005D1425">
        <w:rPr>
          <w:rFonts w:asciiTheme="minorHAnsi" w:hAnsiTheme="minorHAnsi" w:cstheme="minorHAnsi"/>
          <w:lang w:val="it-IT"/>
        </w:rPr>
        <w:t>i volumi di traffico (t) totali</w:t>
      </w:r>
      <w:r>
        <w:rPr>
          <w:rFonts w:asciiTheme="minorHAnsi" w:hAnsiTheme="minorHAnsi" w:cstheme="minorHAnsi"/>
          <w:lang w:val="it-IT"/>
        </w:rPr>
        <w:t xml:space="preserve"> e distinti per modalità di trasporto</w:t>
      </w:r>
      <w:r w:rsidRPr="006F042F">
        <w:rPr>
          <w:rFonts w:asciiTheme="minorHAnsi" w:hAnsiTheme="minorHAnsi" w:cstheme="minorHAnsi"/>
          <w:lang w:val="it-IT"/>
        </w:rPr>
        <w:t xml:space="preserve"> </w:t>
      </w:r>
      <w:r>
        <w:rPr>
          <w:rFonts w:asciiTheme="minorHAnsi" w:hAnsiTheme="minorHAnsi" w:cstheme="minorHAnsi"/>
          <w:lang w:val="it-IT"/>
        </w:rPr>
        <w:t>(marittima, terrestre, aerea)</w:t>
      </w:r>
      <w:r w:rsidRPr="005D1425">
        <w:rPr>
          <w:rFonts w:asciiTheme="minorHAnsi" w:hAnsiTheme="minorHAnsi" w:cstheme="minorHAnsi"/>
          <w:lang w:val="it-IT"/>
        </w:rPr>
        <w:t>, sia in ingresso che in uscita, per ciascuna delle sei regioni partner per il quadriennio 2013-2016;</w:t>
      </w:r>
    </w:p>
    <w:p w:rsidR="00E962E9" w:rsidRPr="005D1425" w:rsidRDefault="00E962E9" w:rsidP="00E962E9">
      <w:pPr>
        <w:pStyle w:val="Paragraphedeliste"/>
        <w:numPr>
          <w:ilvl w:val="0"/>
          <w:numId w:val="2"/>
        </w:numPr>
        <w:spacing w:line="276" w:lineRule="auto"/>
        <w:ind w:left="142" w:right="114" w:hanging="284"/>
        <w:jc w:val="both"/>
        <w:rPr>
          <w:rFonts w:asciiTheme="minorHAnsi" w:hAnsiTheme="minorHAnsi" w:cstheme="minorHAnsi"/>
          <w:lang w:val="it-IT"/>
        </w:rPr>
      </w:pPr>
      <w:r w:rsidRPr="005D1425">
        <w:rPr>
          <w:rFonts w:asciiTheme="minorHAnsi" w:hAnsiTheme="minorHAnsi" w:cstheme="minorHAnsi"/>
          <w:lang w:val="it-IT"/>
        </w:rPr>
        <w:t>i volumi di traffico O/D scambiati per via marittima tra le 6 regioni partner nel quadriennio 2013-2016.</w:t>
      </w:r>
    </w:p>
    <w:p w:rsidR="00E962E9" w:rsidRDefault="00E962E9" w:rsidP="00E962E9">
      <w:pPr>
        <w:pStyle w:val="Paragraphedeliste"/>
        <w:numPr>
          <w:ilvl w:val="0"/>
          <w:numId w:val="3"/>
        </w:numPr>
        <w:spacing w:line="276" w:lineRule="auto"/>
        <w:ind w:left="142" w:right="114" w:hanging="284"/>
        <w:jc w:val="both"/>
        <w:rPr>
          <w:rFonts w:asciiTheme="minorHAnsi" w:hAnsiTheme="minorHAnsi" w:cstheme="minorHAnsi"/>
          <w:lang w:val="it-IT"/>
        </w:rPr>
      </w:pPr>
      <w:r>
        <w:rPr>
          <w:rFonts w:asciiTheme="minorHAnsi" w:hAnsiTheme="minorHAnsi" w:cstheme="minorHAnsi"/>
          <w:lang w:val="it-IT"/>
        </w:rPr>
        <w:t>i volumi di</w:t>
      </w:r>
      <w:r w:rsidRPr="005D1425">
        <w:rPr>
          <w:rFonts w:asciiTheme="minorHAnsi" w:hAnsiTheme="minorHAnsi" w:cstheme="minorHAnsi"/>
          <w:lang w:val="it-IT"/>
        </w:rPr>
        <w:t xml:space="preserve"> traffico totali (in/out) per ciascuno dei porti </w:t>
      </w:r>
      <w:r>
        <w:rPr>
          <w:rFonts w:asciiTheme="minorHAnsi" w:hAnsiTheme="minorHAnsi" w:cstheme="minorHAnsi"/>
          <w:lang w:val="it-IT"/>
        </w:rPr>
        <w:t>della rete Go Smart Med</w:t>
      </w:r>
      <w:r w:rsidRPr="005D1425">
        <w:rPr>
          <w:rFonts w:asciiTheme="minorHAnsi" w:hAnsiTheme="minorHAnsi" w:cstheme="minorHAnsi"/>
          <w:lang w:val="it-IT"/>
        </w:rPr>
        <w:t xml:space="preserve"> nel quadriennio 2013-2016;</w:t>
      </w:r>
    </w:p>
    <w:p w:rsidR="00E962E9" w:rsidRPr="00333D20" w:rsidRDefault="00E962E9" w:rsidP="00E962E9">
      <w:pPr>
        <w:pStyle w:val="Paragraphedeliste"/>
        <w:numPr>
          <w:ilvl w:val="0"/>
          <w:numId w:val="3"/>
        </w:numPr>
        <w:spacing w:line="276" w:lineRule="auto"/>
        <w:ind w:left="142" w:right="114" w:hanging="284"/>
        <w:jc w:val="both"/>
        <w:rPr>
          <w:rFonts w:asciiTheme="minorHAnsi" w:hAnsiTheme="minorHAnsi" w:cstheme="minorHAnsi"/>
          <w:lang w:val="it-IT"/>
        </w:rPr>
      </w:pPr>
      <w:r w:rsidRPr="00294FC1">
        <w:rPr>
          <w:rFonts w:asciiTheme="minorHAnsi" w:hAnsiTheme="minorHAnsi" w:cstheme="minorHAnsi"/>
          <w:lang w:val="it-IT"/>
        </w:rPr>
        <w:t>i volumi di traffico ro-ro e container scambiati tra le varie coppie o/d di porti nel quadriennio 2013-2016.</w:t>
      </w:r>
    </w:p>
    <w:p w:rsidR="00E962E9" w:rsidRPr="00294FC1" w:rsidRDefault="00E962E9" w:rsidP="00E962E9">
      <w:pPr>
        <w:pStyle w:val="TableParagraph"/>
        <w:numPr>
          <w:ilvl w:val="0"/>
          <w:numId w:val="1"/>
        </w:numPr>
        <w:spacing w:before="120" w:after="120" w:line="276" w:lineRule="auto"/>
        <w:ind w:left="709" w:right="113" w:hanging="567"/>
        <w:jc w:val="both"/>
        <w:rPr>
          <w:rFonts w:asciiTheme="minorHAnsi" w:hAnsiTheme="minorHAnsi" w:cstheme="minorHAnsi"/>
          <w:lang w:val="it-IT"/>
        </w:rPr>
      </w:pPr>
      <w:r w:rsidRPr="00ED2CE3">
        <w:rPr>
          <w:rFonts w:asciiTheme="minorHAnsi" w:hAnsiTheme="minorHAnsi" w:cstheme="minorHAnsi"/>
          <w:b/>
          <w:lang w:val="it-IT"/>
        </w:rPr>
        <w:t>Analisi dell’offerta dei servizi di trasporto merci</w:t>
      </w:r>
      <w:r w:rsidRPr="00294FC1">
        <w:rPr>
          <w:rFonts w:asciiTheme="minorHAnsi" w:hAnsiTheme="minorHAnsi" w:cstheme="minorHAnsi"/>
          <w:lang w:val="it-IT"/>
        </w:rPr>
        <w:t xml:space="preserve"> marittimo e portuale nell’area di cooperazione</w:t>
      </w:r>
      <w:r>
        <w:rPr>
          <w:rFonts w:asciiTheme="minorHAnsi" w:hAnsiTheme="minorHAnsi" w:cstheme="minorHAnsi"/>
          <w:lang w:val="it-IT"/>
        </w:rPr>
        <w:t>;</w:t>
      </w:r>
    </w:p>
    <w:p w:rsidR="00E962E9" w:rsidRPr="00E962E9" w:rsidRDefault="00E962E9" w:rsidP="00E962E9">
      <w:pPr>
        <w:pStyle w:val="Titolo11"/>
        <w:spacing w:line="276" w:lineRule="auto"/>
        <w:ind w:left="0" w:right="114"/>
        <w:jc w:val="both"/>
        <w:rPr>
          <w:rFonts w:asciiTheme="minorHAnsi" w:eastAsiaTheme="minorHAnsi" w:hAnsiTheme="minorHAnsi" w:cstheme="minorHAnsi"/>
          <w:b w:val="0"/>
          <w:bCs w:val="0"/>
          <w:sz w:val="22"/>
          <w:szCs w:val="22"/>
          <w:lang w:val="it-IT"/>
        </w:rPr>
      </w:pPr>
      <w:r w:rsidRPr="00294FC1">
        <w:rPr>
          <w:rFonts w:asciiTheme="minorHAnsi" w:eastAsiaTheme="minorHAnsi" w:hAnsiTheme="minorHAnsi" w:cstheme="minorHAnsi"/>
          <w:b w:val="0"/>
          <w:bCs w:val="0"/>
          <w:sz w:val="22"/>
          <w:szCs w:val="22"/>
          <w:lang w:val="it-IT"/>
        </w:rPr>
        <w:t>L’analisi dell’offerta di trasporto marittimo delle merci nell’area di cooperazione ha riguardato</w:t>
      </w:r>
      <w:r>
        <w:rPr>
          <w:rFonts w:asciiTheme="minorHAnsi" w:eastAsiaTheme="minorHAnsi" w:hAnsiTheme="minorHAnsi" w:cstheme="minorHAnsi"/>
          <w:b w:val="0"/>
          <w:bCs w:val="0"/>
          <w:sz w:val="22"/>
          <w:szCs w:val="22"/>
          <w:lang w:val="it-IT"/>
        </w:rPr>
        <w:t xml:space="preserve"> l’</w:t>
      </w:r>
      <w:r w:rsidRPr="00ED2CE3">
        <w:rPr>
          <w:rFonts w:asciiTheme="minorHAnsi" w:eastAsiaTheme="minorHAnsi" w:hAnsiTheme="minorHAnsi" w:cstheme="minorHAnsi"/>
          <w:b w:val="0"/>
          <w:bCs w:val="0"/>
          <w:sz w:val="22"/>
          <w:szCs w:val="22"/>
          <w:lang w:val="it-IT"/>
        </w:rPr>
        <w:t>analisi dei servizi di trasporto marittimo in essere tra i porti della rete Go SMarT Med (frequenza, capacità, tempo di percorrenza, nave i</w:t>
      </w:r>
      <w:r>
        <w:rPr>
          <w:rFonts w:asciiTheme="minorHAnsi" w:eastAsiaTheme="minorHAnsi" w:hAnsiTheme="minorHAnsi" w:cstheme="minorHAnsi"/>
          <w:b w:val="0"/>
          <w:bCs w:val="0"/>
          <w:sz w:val="22"/>
          <w:szCs w:val="22"/>
          <w:lang w:val="it-IT"/>
        </w:rPr>
        <w:t>mpiegata, tariffa del servizio) e l’</w:t>
      </w:r>
      <w:r w:rsidRPr="00ED2CE3">
        <w:rPr>
          <w:rFonts w:asciiTheme="minorHAnsi" w:eastAsiaTheme="minorHAnsi" w:hAnsiTheme="minorHAnsi" w:cstheme="minorHAnsi"/>
          <w:b w:val="0"/>
          <w:bCs w:val="0"/>
          <w:sz w:val="22"/>
          <w:szCs w:val="22"/>
          <w:lang w:val="it-IT"/>
        </w:rPr>
        <w:t>analisi delle principali caratteristiche infrastrutturali, operative e tariffarie dei porti coinvolti.</w:t>
      </w:r>
    </w:p>
    <w:p w:rsidR="00E962E9" w:rsidRDefault="00E962E9" w:rsidP="00E962E9">
      <w:pPr>
        <w:spacing w:after="240" w:afterAutospacing="0"/>
        <w:ind w:right="113"/>
        <w:jc w:val="both"/>
        <w:rPr>
          <w:rFonts w:cstheme="minorHAnsi"/>
          <w:lang w:val="it-IT"/>
        </w:rPr>
      </w:pPr>
      <w:r>
        <w:rPr>
          <w:rFonts w:cstheme="minorHAnsi"/>
          <w:lang w:val="it-IT"/>
        </w:rPr>
        <w:t xml:space="preserve">Le analisi del sistema di domanda e offerta sono state realizzate </w:t>
      </w:r>
      <w:r w:rsidRPr="005D1425">
        <w:rPr>
          <w:rFonts w:cstheme="minorHAnsi"/>
          <w:lang w:val="it-IT"/>
        </w:rPr>
        <w:t xml:space="preserve">allo scopo di </w:t>
      </w:r>
      <w:r>
        <w:rPr>
          <w:rFonts w:cstheme="minorHAnsi"/>
          <w:lang w:val="it-IT"/>
        </w:rPr>
        <w:t>acquisire gli elementi caratterizzanti l’attuale</w:t>
      </w:r>
      <w:r w:rsidRPr="005D1425">
        <w:rPr>
          <w:rFonts w:cstheme="minorHAnsi"/>
          <w:lang w:val="it-IT"/>
        </w:rPr>
        <w:t xml:space="preserve"> quadro d</w:t>
      </w:r>
      <w:r>
        <w:rPr>
          <w:rFonts w:cstheme="minorHAnsi"/>
          <w:lang w:val="it-IT"/>
        </w:rPr>
        <w:t>ei</w:t>
      </w:r>
      <w:r w:rsidRPr="005D1425">
        <w:rPr>
          <w:rFonts w:cstheme="minorHAnsi"/>
          <w:lang w:val="it-IT"/>
        </w:rPr>
        <w:t xml:space="preserve"> trasport</w:t>
      </w:r>
      <w:r>
        <w:rPr>
          <w:rFonts w:cstheme="minorHAnsi"/>
          <w:lang w:val="it-IT"/>
        </w:rPr>
        <w:t>i</w:t>
      </w:r>
      <w:r w:rsidRPr="005D1425">
        <w:rPr>
          <w:rFonts w:cstheme="minorHAnsi"/>
          <w:lang w:val="it-IT"/>
        </w:rPr>
        <w:t xml:space="preserve"> marittim</w:t>
      </w:r>
      <w:r>
        <w:rPr>
          <w:rFonts w:cstheme="minorHAnsi"/>
          <w:lang w:val="it-IT"/>
        </w:rPr>
        <w:t>i</w:t>
      </w:r>
      <w:r w:rsidRPr="005D1425">
        <w:rPr>
          <w:rFonts w:cstheme="minorHAnsi"/>
          <w:lang w:val="it-IT"/>
        </w:rPr>
        <w:t xml:space="preserve"> nell’area, al fine di poter procedere, nella fase progettuale</w:t>
      </w:r>
      <w:r>
        <w:rPr>
          <w:rFonts w:cstheme="minorHAnsi"/>
          <w:lang w:val="it-IT"/>
        </w:rPr>
        <w:t xml:space="preserve"> che si svilupperà nel prossimi mesi</w:t>
      </w:r>
      <w:r w:rsidRPr="005D1425">
        <w:rPr>
          <w:rFonts w:cstheme="minorHAnsi"/>
          <w:lang w:val="it-IT"/>
        </w:rPr>
        <w:t>, alla definizione dei parametri più adeguati per una riorganizzazione più efficace del servizio di trasporto</w:t>
      </w:r>
      <w:r>
        <w:rPr>
          <w:rFonts w:cstheme="minorHAnsi"/>
          <w:lang w:val="it-IT"/>
        </w:rPr>
        <w:t xml:space="preserve"> e per la sua governance</w:t>
      </w:r>
      <w:r w:rsidRPr="005D1425">
        <w:rPr>
          <w:rFonts w:cstheme="minorHAnsi"/>
          <w:lang w:val="it-IT"/>
        </w:rPr>
        <w:t>.</w:t>
      </w:r>
    </w:p>
    <w:p w:rsidR="00E962E9" w:rsidRDefault="00E962E9" w:rsidP="00E962E9">
      <w:pPr>
        <w:spacing w:before="240" w:beforeAutospacing="0"/>
        <w:ind w:right="113"/>
        <w:jc w:val="both"/>
        <w:rPr>
          <w:rFonts w:cstheme="minorHAnsi"/>
          <w:lang w:val="it-IT"/>
        </w:rPr>
      </w:pPr>
    </w:p>
    <w:p w:rsidR="00E962E9" w:rsidRPr="00466732" w:rsidRDefault="00E962E9" w:rsidP="00E962E9">
      <w:pPr>
        <w:spacing w:before="240" w:beforeAutospacing="0"/>
        <w:ind w:right="113"/>
        <w:jc w:val="both"/>
        <w:rPr>
          <w:rFonts w:cstheme="minorHAnsi"/>
          <w:lang w:val="it-IT"/>
        </w:rPr>
      </w:pPr>
      <w:bookmarkStart w:id="0" w:name="_GoBack"/>
      <w:bookmarkEnd w:id="0"/>
      <w:r w:rsidRPr="00466732">
        <w:rPr>
          <w:rFonts w:cstheme="minorHAnsi"/>
          <w:lang w:val="it-IT"/>
        </w:rPr>
        <w:t xml:space="preserve">L’efficacia del </w:t>
      </w:r>
      <w:r>
        <w:rPr>
          <w:rFonts w:cstheme="minorHAnsi"/>
          <w:lang w:val="it-IT"/>
        </w:rPr>
        <w:t xml:space="preserve">nuovo </w:t>
      </w:r>
      <w:r w:rsidRPr="00466732">
        <w:rPr>
          <w:rFonts w:cstheme="minorHAnsi"/>
          <w:lang w:val="it-IT"/>
        </w:rPr>
        <w:t xml:space="preserve">sistema </w:t>
      </w:r>
      <w:r>
        <w:rPr>
          <w:rFonts w:cstheme="minorHAnsi"/>
          <w:lang w:val="it-IT"/>
        </w:rPr>
        <w:t>sarà</w:t>
      </w:r>
      <w:r w:rsidRPr="00466732">
        <w:rPr>
          <w:rFonts w:cstheme="minorHAnsi"/>
          <w:lang w:val="it-IT"/>
        </w:rPr>
        <w:t xml:space="preserve"> valutata attraverso la valutazione delle catene logistiche</w:t>
      </w:r>
      <w:r>
        <w:rPr>
          <w:rFonts w:cstheme="minorHAnsi"/>
          <w:lang w:val="it-IT"/>
        </w:rPr>
        <w:t>,</w:t>
      </w:r>
      <w:r w:rsidRPr="00897FD2">
        <w:rPr>
          <w:rFonts w:cstheme="minorHAnsi"/>
          <w:lang w:val="it-IT"/>
        </w:rPr>
        <w:t xml:space="preserve"> </w:t>
      </w:r>
      <w:r>
        <w:rPr>
          <w:rFonts w:cstheme="minorHAnsi"/>
          <w:lang w:val="it-IT"/>
        </w:rPr>
        <w:t>utilizzate per scambiare le merci tra le regioni dell’area, nei due assetti di</w:t>
      </w:r>
      <w:r w:rsidRPr="00466732">
        <w:rPr>
          <w:rFonts w:cstheme="minorHAnsi"/>
          <w:lang w:val="it-IT"/>
        </w:rPr>
        <w:t xml:space="preserve"> ante</w:t>
      </w:r>
      <w:r>
        <w:rPr>
          <w:rFonts w:cstheme="minorHAnsi"/>
          <w:lang w:val="it-IT"/>
        </w:rPr>
        <w:t>-</w:t>
      </w:r>
      <w:r w:rsidRPr="00466732">
        <w:rPr>
          <w:rFonts w:cstheme="minorHAnsi"/>
          <w:lang w:val="it-IT"/>
        </w:rPr>
        <w:t xml:space="preserve"> e post</w:t>
      </w:r>
      <w:r>
        <w:rPr>
          <w:rFonts w:cstheme="minorHAnsi"/>
          <w:lang w:val="it-IT"/>
        </w:rPr>
        <w:t>-</w:t>
      </w:r>
      <w:r w:rsidRPr="00466732">
        <w:rPr>
          <w:rFonts w:cstheme="minorHAnsi"/>
          <w:lang w:val="it-IT"/>
        </w:rPr>
        <w:t xml:space="preserve"> nuova governance. L’analisi delle catene logistiche permette </w:t>
      </w:r>
      <w:r>
        <w:rPr>
          <w:rFonts w:cstheme="minorHAnsi"/>
          <w:lang w:val="it-IT"/>
        </w:rPr>
        <w:t xml:space="preserve">infatti </w:t>
      </w:r>
      <w:r w:rsidRPr="00466732">
        <w:rPr>
          <w:rFonts w:cstheme="minorHAnsi"/>
          <w:lang w:val="it-IT"/>
        </w:rPr>
        <w:t>di valutare i costi e i tempi di trasporto, l'entità degli itinerari stradali nelle diverse regioni attraversate, il miglioramento della sicurezza lungo le strade, gli impatti energetici e ambientali. Tali informazioni s</w:t>
      </w:r>
      <w:r>
        <w:rPr>
          <w:rFonts w:cstheme="minorHAnsi"/>
          <w:lang w:val="it-IT"/>
        </w:rPr>
        <w:t>aranno</w:t>
      </w:r>
      <w:r w:rsidRPr="00466732">
        <w:rPr>
          <w:rFonts w:cstheme="minorHAnsi"/>
          <w:lang w:val="it-IT"/>
        </w:rPr>
        <w:t xml:space="preserve"> utili per gli armatori ma anche per le pubbliche amministrazioni interessate in sede di pianificazione dei servizi marittimi ad incentivare le pratiche migliori di erogazione di servizi di interesse collettivo. </w:t>
      </w:r>
    </w:p>
    <w:p w:rsidR="00E962E9" w:rsidRDefault="00E962E9" w:rsidP="00E962E9">
      <w:pPr>
        <w:spacing w:after="0"/>
        <w:ind w:right="114"/>
        <w:jc w:val="both"/>
        <w:rPr>
          <w:rFonts w:cstheme="minorHAnsi"/>
          <w:bCs/>
          <w:lang w:val="it-IT"/>
        </w:rPr>
      </w:pPr>
      <w:r w:rsidRPr="001A003A">
        <w:rPr>
          <w:rFonts w:cstheme="minorHAnsi"/>
          <w:lang w:val="it-IT"/>
        </w:rPr>
        <w:t xml:space="preserve">A </w:t>
      </w:r>
      <w:r>
        <w:rPr>
          <w:rFonts w:cstheme="minorHAnsi"/>
          <w:lang w:val="it-IT"/>
        </w:rPr>
        <w:t>tal</w:t>
      </w:r>
      <w:r w:rsidRPr="001A003A">
        <w:rPr>
          <w:rFonts w:cstheme="minorHAnsi"/>
          <w:lang w:val="it-IT"/>
        </w:rPr>
        <w:t xml:space="preserve"> proposito</w:t>
      </w:r>
      <w:r>
        <w:rPr>
          <w:rFonts w:cstheme="minorHAnsi"/>
          <w:lang w:val="it-IT"/>
        </w:rPr>
        <w:t>,</w:t>
      </w:r>
      <w:r w:rsidRPr="001A003A">
        <w:rPr>
          <w:rFonts w:cstheme="minorHAnsi"/>
          <w:lang w:val="it-IT"/>
        </w:rPr>
        <w:t xml:space="preserve"> importanti sforzi nel corso </w:t>
      </w:r>
      <w:r>
        <w:rPr>
          <w:rFonts w:cstheme="minorHAnsi"/>
          <w:lang w:val="it-IT"/>
        </w:rPr>
        <w:t>del primo semestre</w:t>
      </w:r>
      <w:r w:rsidRPr="001A003A">
        <w:rPr>
          <w:rFonts w:cstheme="minorHAnsi"/>
          <w:lang w:val="it-IT"/>
        </w:rPr>
        <w:t xml:space="preserve"> di sviluppo del progetto sono stati dedicati alla </w:t>
      </w:r>
      <w:r w:rsidRPr="001A003A">
        <w:rPr>
          <w:rFonts w:cstheme="minorHAnsi"/>
          <w:bCs/>
          <w:lang w:val="it-IT"/>
        </w:rPr>
        <w:t>caratterizzazione di oltre 60 Catene Logistiche transfrontaliere</w:t>
      </w:r>
      <w:r>
        <w:rPr>
          <w:rFonts w:cstheme="minorHAnsi"/>
          <w:bCs/>
          <w:lang w:val="it-IT"/>
        </w:rPr>
        <w:t xml:space="preserve"> attuali</w:t>
      </w:r>
      <w:r w:rsidRPr="001A003A">
        <w:rPr>
          <w:rFonts w:cstheme="minorHAnsi"/>
          <w:bCs/>
          <w:lang w:val="it-IT"/>
        </w:rPr>
        <w:t xml:space="preserve">, attraverso la descrizione degli itinerari intermodali di viaggio O/D delle merci </w:t>
      </w:r>
      <w:r>
        <w:rPr>
          <w:rFonts w:cstheme="minorHAnsi"/>
          <w:bCs/>
          <w:lang w:val="it-IT"/>
        </w:rPr>
        <w:t xml:space="preserve">impiegati </w:t>
      </w:r>
      <w:r w:rsidRPr="001A003A">
        <w:rPr>
          <w:rFonts w:cstheme="minorHAnsi"/>
          <w:bCs/>
          <w:lang w:val="it-IT"/>
        </w:rPr>
        <w:t xml:space="preserve">e l’assegnazione ad ogni elemento dei parametri di costo, tempo, impatto ambientale e consumi medi. </w:t>
      </w:r>
      <w:r>
        <w:rPr>
          <w:rFonts w:cstheme="minorHAnsi"/>
          <w:bCs/>
          <w:lang w:val="it-IT"/>
        </w:rPr>
        <w:t>Tali catene logistiche saranno rivalutate alla luce delle alternative di trasporto rese disponibili dal nuovo sistema integrato e costituiscono un fondamentale elemento di valutazione dell’efficacia del nuovo sistema di governance proposto.</w:t>
      </w:r>
    </w:p>
    <w:p w:rsidR="00E962E9" w:rsidRPr="00897FD2" w:rsidRDefault="00E962E9" w:rsidP="00E962E9">
      <w:pPr>
        <w:spacing w:after="0"/>
        <w:ind w:right="114"/>
        <w:jc w:val="both"/>
        <w:rPr>
          <w:rFonts w:cstheme="minorHAnsi"/>
          <w:bCs/>
          <w:lang w:val="it-IT"/>
        </w:rPr>
      </w:pPr>
      <w:r>
        <w:rPr>
          <w:rFonts w:cstheme="minorHAnsi"/>
          <w:bCs/>
          <w:lang w:val="it-IT"/>
        </w:rPr>
        <w:t>La seconda fase del progetto</w:t>
      </w:r>
      <w:r w:rsidRPr="00897FD2">
        <w:rPr>
          <w:rFonts w:cstheme="minorHAnsi"/>
          <w:bCs/>
          <w:lang w:val="it-IT"/>
        </w:rPr>
        <w:t xml:space="preserve"> vedrà i partner impegnati nella realizzazione delle seguenti attività:</w:t>
      </w:r>
    </w:p>
    <w:p w:rsidR="00E962E9" w:rsidRDefault="00E962E9" w:rsidP="00E962E9">
      <w:pPr>
        <w:numPr>
          <w:ilvl w:val="0"/>
          <w:numId w:val="4"/>
        </w:numPr>
        <w:tabs>
          <w:tab w:val="clear" w:pos="720"/>
        </w:tabs>
        <w:spacing w:before="0" w:beforeAutospacing="0" w:after="0" w:afterAutospacing="0"/>
        <w:ind w:left="0" w:right="114" w:hanging="284"/>
        <w:jc w:val="both"/>
        <w:rPr>
          <w:rFonts w:cstheme="minorHAnsi"/>
          <w:bCs/>
          <w:lang w:val="it-IT"/>
        </w:rPr>
      </w:pPr>
      <w:r w:rsidRPr="00897FD2">
        <w:rPr>
          <w:rFonts w:cstheme="minorHAnsi"/>
          <w:bCs/>
          <w:lang w:val="it-IT"/>
        </w:rPr>
        <w:t xml:space="preserve">Realizzazione di un modello matematico di rappresentazione della rete intermodale di trasporto merci ottimizzata. Tale modello sarà testato sui diversi scenari di domanda e offerta, basati sui dati reali raccolti </w:t>
      </w:r>
      <w:r>
        <w:rPr>
          <w:rFonts w:cstheme="minorHAnsi"/>
          <w:bCs/>
          <w:lang w:val="it-IT"/>
        </w:rPr>
        <w:t>nella prima fase di sviluppo</w:t>
      </w:r>
      <w:r w:rsidRPr="00897FD2">
        <w:rPr>
          <w:rFonts w:cstheme="minorHAnsi"/>
          <w:bCs/>
          <w:lang w:val="it-IT"/>
        </w:rPr>
        <w:t>;</w:t>
      </w:r>
    </w:p>
    <w:p w:rsidR="00E962E9" w:rsidRDefault="00E962E9" w:rsidP="00E962E9">
      <w:pPr>
        <w:numPr>
          <w:ilvl w:val="0"/>
          <w:numId w:val="4"/>
        </w:numPr>
        <w:tabs>
          <w:tab w:val="clear" w:pos="720"/>
        </w:tabs>
        <w:spacing w:before="0" w:beforeAutospacing="0" w:after="0" w:afterAutospacing="0"/>
        <w:ind w:left="0" w:right="114" w:hanging="284"/>
        <w:jc w:val="both"/>
        <w:rPr>
          <w:rFonts w:cstheme="minorHAnsi"/>
          <w:bCs/>
          <w:lang w:val="it-IT"/>
        </w:rPr>
      </w:pPr>
      <w:r w:rsidRPr="00897FD2">
        <w:rPr>
          <w:rFonts w:cstheme="minorHAnsi"/>
          <w:bCs/>
          <w:lang w:val="it-IT"/>
        </w:rPr>
        <w:t>Implementazione del nuovo sistema marittimo coordinato con applicazione della piattaforma Optimed, realizzata nell’ambito di un progetto di cooperazione transfrontalie</w:t>
      </w:r>
      <w:r>
        <w:rPr>
          <w:rFonts w:cstheme="minorHAnsi"/>
          <w:bCs/>
          <w:lang w:val="it-IT"/>
        </w:rPr>
        <w:t>ra ENPI 2007-2013, e rivalutazione del  campione di catene logistiche analizzate;</w:t>
      </w:r>
    </w:p>
    <w:p w:rsidR="00E962E9" w:rsidRPr="00897FD2" w:rsidRDefault="00E962E9" w:rsidP="00E962E9">
      <w:pPr>
        <w:numPr>
          <w:ilvl w:val="0"/>
          <w:numId w:val="4"/>
        </w:numPr>
        <w:tabs>
          <w:tab w:val="clear" w:pos="720"/>
        </w:tabs>
        <w:spacing w:before="0" w:beforeAutospacing="0" w:after="0" w:afterAutospacing="0"/>
        <w:ind w:left="0" w:right="114" w:hanging="284"/>
        <w:jc w:val="both"/>
        <w:rPr>
          <w:rFonts w:cstheme="minorHAnsi"/>
          <w:bCs/>
          <w:lang w:val="it-IT"/>
        </w:rPr>
      </w:pPr>
      <w:r>
        <w:rPr>
          <w:rFonts w:cstheme="minorHAnsi"/>
          <w:bCs/>
          <w:lang w:val="it-IT"/>
        </w:rPr>
        <w:t>Redazione dello studio di fattibilità finale.</w:t>
      </w:r>
    </w:p>
    <w:sectPr w:rsidR="00E962E9" w:rsidRPr="00897F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53D" w:rsidRDefault="00BC153D" w:rsidP="003F6D2B">
      <w:pPr>
        <w:spacing w:before="0" w:after="0" w:line="240" w:lineRule="auto"/>
      </w:pPr>
      <w:r>
        <w:separator/>
      </w:r>
    </w:p>
  </w:endnote>
  <w:endnote w:type="continuationSeparator" w:id="0">
    <w:p w:rsidR="00BC153D" w:rsidRDefault="00BC153D" w:rsidP="003F6D2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B" w:rsidRDefault="003F6D2B" w:rsidP="003F6D2B">
    <w:pPr>
      <w:pStyle w:val="Pieddepage"/>
      <w:spacing w:before="100" w:after="100"/>
    </w:pPr>
    <w:r>
      <w:rPr>
        <w:noProof/>
        <w:lang w:eastAsia="fr-FR"/>
      </w:rPr>
      <w:drawing>
        <wp:anchor distT="0" distB="0" distL="114300" distR="114300" simplePos="0" relativeHeight="251660288" behindDoc="0" locked="0" layoutInCell="1" allowOverlap="1" wp14:anchorId="59520B63" wp14:editId="3B8BBCF7">
          <wp:simplePos x="0" y="0"/>
          <wp:positionH relativeFrom="column">
            <wp:posOffset>265760</wp:posOffset>
          </wp:positionH>
          <wp:positionV relativeFrom="paragraph">
            <wp:posOffset>-153670</wp:posOffset>
          </wp:positionV>
          <wp:extent cx="5760000" cy="72720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bande.jpg"/>
                  <pic:cNvPicPr/>
                </pic:nvPicPr>
                <pic:blipFill>
                  <a:blip r:embed="rId1">
                    <a:extLst>
                      <a:ext uri="{28A0092B-C50C-407E-A947-70E740481C1C}">
                        <a14:useLocalDpi xmlns:a14="http://schemas.microsoft.com/office/drawing/2010/main" val="0"/>
                      </a:ext>
                    </a:extLst>
                  </a:blip>
                  <a:stretch>
                    <a:fillRect/>
                  </a:stretch>
                </pic:blipFill>
                <pic:spPr>
                  <a:xfrm>
                    <a:off x="0" y="0"/>
                    <a:ext cx="5760000" cy="72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53D" w:rsidRDefault="00BC153D" w:rsidP="003F6D2B">
      <w:pPr>
        <w:spacing w:before="0" w:after="0" w:line="240" w:lineRule="auto"/>
      </w:pPr>
      <w:r>
        <w:separator/>
      </w:r>
    </w:p>
  </w:footnote>
  <w:footnote w:type="continuationSeparator" w:id="0">
    <w:p w:rsidR="00BC153D" w:rsidRDefault="00BC153D" w:rsidP="003F6D2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2B" w:rsidRDefault="003F6D2B">
    <w:pPr>
      <w:pStyle w:val="En-tte"/>
    </w:pPr>
    <w:r>
      <w:rPr>
        <w:noProof/>
        <w:lang w:eastAsia="fr-FR"/>
      </w:rPr>
      <w:drawing>
        <wp:anchor distT="0" distB="0" distL="114300" distR="114300" simplePos="0" relativeHeight="251659264" behindDoc="0" locked="0" layoutInCell="1" allowOverlap="1" wp14:anchorId="005B8E20" wp14:editId="536809F0">
          <wp:simplePos x="0" y="0"/>
          <wp:positionH relativeFrom="column">
            <wp:posOffset>855853</wp:posOffset>
          </wp:positionH>
          <wp:positionV relativeFrom="paragraph">
            <wp:posOffset>-295961</wp:posOffset>
          </wp:positionV>
          <wp:extent cx="4269635" cy="694944"/>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 smart med.jpg"/>
                  <pic:cNvPicPr/>
                </pic:nvPicPr>
                <pic:blipFill>
                  <a:blip r:embed="rId1">
                    <a:extLst>
                      <a:ext uri="{28A0092B-C50C-407E-A947-70E740481C1C}">
                        <a14:useLocalDpi xmlns:a14="http://schemas.microsoft.com/office/drawing/2010/main" val="0"/>
                      </a:ext>
                    </a:extLst>
                  </a:blip>
                  <a:stretch>
                    <a:fillRect/>
                  </a:stretch>
                </pic:blipFill>
                <pic:spPr>
                  <a:xfrm>
                    <a:off x="0" y="0"/>
                    <a:ext cx="4284000" cy="69728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5A9C"/>
    <w:multiLevelType w:val="hybridMultilevel"/>
    <w:tmpl w:val="624691DA"/>
    <w:lvl w:ilvl="0" w:tplc="0FE88748">
      <w:numFmt w:val="bullet"/>
      <w:lvlText w:val="-"/>
      <w:lvlJc w:val="left"/>
      <w:pPr>
        <w:ind w:left="862" w:hanging="360"/>
      </w:pPr>
      <w:rPr>
        <w:rFonts w:ascii="Arial Narrow" w:eastAsia="Times New Roman" w:hAnsi="Arial Narrow"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nsid w:val="1B1F214F"/>
    <w:multiLevelType w:val="hybridMultilevel"/>
    <w:tmpl w:val="ED0695A8"/>
    <w:lvl w:ilvl="0" w:tplc="C2362E64">
      <w:start w:val="1"/>
      <w:numFmt w:val="decimal"/>
      <w:lvlText w:val="%1."/>
      <w:lvlJc w:val="left"/>
      <w:pPr>
        <w:ind w:left="502" w:hanging="360"/>
      </w:pPr>
      <w:rPr>
        <w:rFonts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8B04519"/>
    <w:multiLevelType w:val="hybridMultilevel"/>
    <w:tmpl w:val="475C24DE"/>
    <w:lvl w:ilvl="0" w:tplc="0FE88748">
      <w:numFmt w:val="bullet"/>
      <w:lvlText w:val="-"/>
      <w:lvlJc w:val="left"/>
      <w:pPr>
        <w:ind w:left="862" w:hanging="360"/>
      </w:pPr>
      <w:rPr>
        <w:rFonts w:ascii="Arial Narrow" w:eastAsia="Times New Roman" w:hAnsi="Arial Narrow" w:cs="Times New Roman"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656F1AD1"/>
    <w:multiLevelType w:val="multilevel"/>
    <w:tmpl w:val="D19A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2B"/>
    <w:rsid w:val="0023244C"/>
    <w:rsid w:val="0023767D"/>
    <w:rsid w:val="003F6D2B"/>
    <w:rsid w:val="00BC153D"/>
    <w:rsid w:val="00E962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2B"/>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6D2B"/>
  </w:style>
  <w:style w:type="paragraph" w:styleId="Pieddepage">
    <w:name w:val="footer"/>
    <w:basedOn w:val="Normal"/>
    <w:link w:val="PieddepageCar"/>
    <w:uiPriority w:val="99"/>
    <w:unhideWhenUsed/>
    <w:rsid w:val="003F6D2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F6D2B"/>
  </w:style>
  <w:style w:type="paragraph" w:styleId="Textedebulles">
    <w:name w:val="Balloon Text"/>
    <w:basedOn w:val="Normal"/>
    <w:link w:val="TextedebullesCar"/>
    <w:uiPriority w:val="99"/>
    <w:semiHidden/>
    <w:unhideWhenUsed/>
    <w:rsid w:val="003F6D2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2B"/>
    <w:rPr>
      <w:rFonts w:ascii="Tahoma" w:hAnsi="Tahoma" w:cs="Tahoma"/>
      <w:sz w:val="16"/>
      <w:szCs w:val="16"/>
    </w:rPr>
  </w:style>
  <w:style w:type="paragraph" w:customStyle="1" w:styleId="TableParagraph">
    <w:name w:val="Table Paragraph"/>
    <w:basedOn w:val="Normal"/>
    <w:uiPriority w:val="1"/>
    <w:qFormat/>
    <w:rsid w:val="00E962E9"/>
    <w:pPr>
      <w:widowControl w:val="0"/>
      <w:spacing w:before="0" w:beforeAutospacing="0" w:after="0" w:afterAutospacing="0" w:line="240" w:lineRule="auto"/>
    </w:pPr>
    <w:rPr>
      <w:rFonts w:ascii="Tahoma" w:eastAsia="Tahoma" w:hAnsi="Tahoma" w:cs="Tahoma"/>
      <w:lang w:val="en-US" w:eastAsia="fr-FR"/>
    </w:rPr>
  </w:style>
  <w:style w:type="paragraph" w:styleId="Paragraphedeliste">
    <w:name w:val="List Paragraph"/>
    <w:basedOn w:val="Normal"/>
    <w:uiPriority w:val="34"/>
    <w:qFormat/>
    <w:rsid w:val="00E962E9"/>
    <w:pPr>
      <w:widowControl w:val="0"/>
      <w:spacing w:before="0" w:beforeAutospacing="0" w:after="0" w:afterAutospacing="0" w:line="240" w:lineRule="auto"/>
    </w:pPr>
    <w:rPr>
      <w:rFonts w:ascii="Tahoma" w:eastAsia="Tahoma" w:hAnsi="Tahoma" w:cs="Tahoma"/>
      <w:lang w:val="en-US" w:eastAsia="fr-FR"/>
    </w:rPr>
  </w:style>
  <w:style w:type="paragraph" w:customStyle="1" w:styleId="Titolo11">
    <w:name w:val="Titolo 11"/>
    <w:basedOn w:val="Normal"/>
    <w:uiPriority w:val="1"/>
    <w:qFormat/>
    <w:rsid w:val="00E962E9"/>
    <w:pPr>
      <w:widowControl w:val="0"/>
      <w:spacing w:before="46" w:beforeAutospacing="0" w:after="0" w:afterAutospacing="0" w:line="240" w:lineRule="auto"/>
      <w:ind w:left="680" w:right="823"/>
      <w:jc w:val="center"/>
      <w:outlineLvl w:val="1"/>
    </w:pPr>
    <w:rPr>
      <w:rFonts w:ascii="Tahoma" w:eastAsia="Tahoma" w:hAnsi="Tahoma" w:cs="Tahoma"/>
      <w:b/>
      <w:bCs/>
      <w:sz w:val="28"/>
      <w:szCs w:val="28"/>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F6D2B"/>
    <w:pPr>
      <w:tabs>
        <w:tab w:val="center" w:pos="4536"/>
        <w:tab w:val="right" w:pos="9072"/>
      </w:tabs>
      <w:spacing w:before="0" w:after="0" w:line="240" w:lineRule="auto"/>
    </w:pPr>
  </w:style>
  <w:style w:type="character" w:customStyle="1" w:styleId="En-tteCar">
    <w:name w:val="En-tête Car"/>
    <w:basedOn w:val="Policepardfaut"/>
    <w:link w:val="En-tte"/>
    <w:uiPriority w:val="99"/>
    <w:rsid w:val="003F6D2B"/>
  </w:style>
  <w:style w:type="paragraph" w:styleId="Pieddepage">
    <w:name w:val="footer"/>
    <w:basedOn w:val="Normal"/>
    <w:link w:val="PieddepageCar"/>
    <w:uiPriority w:val="99"/>
    <w:unhideWhenUsed/>
    <w:rsid w:val="003F6D2B"/>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F6D2B"/>
  </w:style>
  <w:style w:type="paragraph" w:styleId="Textedebulles">
    <w:name w:val="Balloon Text"/>
    <w:basedOn w:val="Normal"/>
    <w:link w:val="TextedebullesCar"/>
    <w:uiPriority w:val="99"/>
    <w:semiHidden/>
    <w:unhideWhenUsed/>
    <w:rsid w:val="003F6D2B"/>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6D2B"/>
    <w:rPr>
      <w:rFonts w:ascii="Tahoma" w:hAnsi="Tahoma" w:cs="Tahoma"/>
      <w:sz w:val="16"/>
      <w:szCs w:val="16"/>
    </w:rPr>
  </w:style>
  <w:style w:type="paragraph" w:customStyle="1" w:styleId="TableParagraph">
    <w:name w:val="Table Paragraph"/>
    <w:basedOn w:val="Normal"/>
    <w:uiPriority w:val="1"/>
    <w:qFormat/>
    <w:rsid w:val="00E962E9"/>
    <w:pPr>
      <w:widowControl w:val="0"/>
      <w:spacing w:before="0" w:beforeAutospacing="0" w:after="0" w:afterAutospacing="0" w:line="240" w:lineRule="auto"/>
    </w:pPr>
    <w:rPr>
      <w:rFonts w:ascii="Tahoma" w:eastAsia="Tahoma" w:hAnsi="Tahoma" w:cs="Tahoma"/>
      <w:lang w:val="en-US" w:eastAsia="fr-FR"/>
    </w:rPr>
  </w:style>
  <w:style w:type="paragraph" w:styleId="Paragraphedeliste">
    <w:name w:val="List Paragraph"/>
    <w:basedOn w:val="Normal"/>
    <w:uiPriority w:val="34"/>
    <w:qFormat/>
    <w:rsid w:val="00E962E9"/>
    <w:pPr>
      <w:widowControl w:val="0"/>
      <w:spacing w:before="0" w:beforeAutospacing="0" w:after="0" w:afterAutospacing="0" w:line="240" w:lineRule="auto"/>
    </w:pPr>
    <w:rPr>
      <w:rFonts w:ascii="Tahoma" w:eastAsia="Tahoma" w:hAnsi="Tahoma" w:cs="Tahoma"/>
      <w:lang w:val="en-US" w:eastAsia="fr-FR"/>
    </w:rPr>
  </w:style>
  <w:style w:type="paragraph" w:customStyle="1" w:styleId="Titolo11">
    <w:name w:val="Titolo 11"/>
    <w:basedOn w:val="Normal"/>
    <w:uiPriority w:val="1"/>
    <w:qFormat/>
    <w:rsid w:val="00E962E9"/>
    <w:pPr>
      <w:widowControl w:val="0"/>
      <w:spacing w:before="46" w:beforeAutospacing="0" w:after="0" w:afterAutospacing="0" w:line="240" w:lineRule="auto"/>
      <w:ind w:left="680" w:right="823"/>
      <w:jc w:val="center"/>
      <w:outlineLvl w:val="1"/>
    </w:pPr>
    <w:rPr>
      <w:rFonts w:ascii="Tahoma" w:eastAsia="Tahoma" w:hAnsi="Tahoma" w:cs="Tahoma"/>
      <w:b/>
      <w:bCs/>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 ORLANDUCCI</dc:creator>
  <cp:lastModifiedBy>Marie-Madeleine GUIDICELLI</cp:lastModifiedBy>
  <cp:revision>3</cp:revision>
  <cp:lastPrinted>2017-09-19T13:32:00Z</cp:lastPrinted>
  <dcterms:created xsi:type="dcterms:W3CDTF">2017-12-21T08:29:00Z</dcterms:created>
  <dcterms:modified xsi:type="dcterms:W3CDTF">2017-12-21T08:34:00Z</dcterms:modified>
</cp:coreProperties>
</file>