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3F88" w14:textId="3E1B5B17" w:rsidR="00775704" w:rsidRDefault="00775704" w:rsidP="007B3822">
      <w:pPr>
        <w:jc w:val="center"/>
        <w:rPr>
          <w:rFonts w:ascii="Arial Narrow" w:eastAsia="Times New Roman" w:hAnsi="Arial Narrow" w:cs="Open Sans"/>
          <w:b/>
          <w:bCs/>
          <w:spacing w:val="1"/>
          <w:sz w:val="32"/>
          <w:szCs w:val="32"/>
          <w:lang w:eastAsia="it-IT"/>
        </w:rPr>
      </w:pPr>
      <w:r>
        <w:rPr>
          <w:rFonts w:ascii="Arial Narrow" w:eastAsia="Times New Roman" w:hAnsi="Arial Narrow" w:cs="Open Sans"/>
          <w:b/>
          <w:bCs/>
          <w:spacing w:val="1"/>
          <w:sz w:val="32"/>
          <w:szCs w:val="32"/>
          <w:lang w:eastAsia="it-IT"/>
        </w:rPr>
        <w:t>Annexe 3</w:t>
      </w:r>
    </w:p>
    <w:p w14:paraId="0ABC0019" w14:textId="757900A9" w:rsidR="00775704" w:rsidRDefault="00775704" w:rsidP="007B3822">
      <w:pPr>
        <w:jc w:val="center"/>
        <w:rPr>
          <w:rFonts w:ascii="Arial Narrow" w:eastAsia="Times New Roman" w:hAnsi="Arial Narrow" w:cs="Open Sans"/>
          <w:b/>
          <w:bCs/>
          <w:spacing w:val="1"/>
          <w:sz w:val="32"/>
          <w:szCs w:val="32"/>
          <w:lang w:eastAsia="it-IT"/>
        </w:rPr>
      </w:pPr>
      <w:r>
        <w:rPr>
          <w:rFonts w:ascii="Arial Narrow" w:eastAsia="Times New Roman" w:hAnsi="Arial Narrow" w:cs="Open Sans"/>
          <w:b/>
          <w:bCs/>
          <w:spacing w:val="1"/>
          <w:sz w:val="32"/>
          <w:szCs w:val="32"/>
          <w:lang w:eastAsia="it-IT"/>
        </w:rPr>
        <w:t xml:space="preserve">Liste des experts qui réaliseront les missions </w:t>
      </w:r>
    </w:p>
    <w:p w14:paraId="695C873C" w14:textId="77777777" w:rsidR="00775704" w:rsidRDefault="00775704" w:rsidP="00775704">
      <w:pPr>
        <w:jc w:val="center"/>
        <w:rPr>
          <w:rFonts w:ascii="Arial Narrow" w:eastAsia="Times New Roman" w:hAnsi="Arial Narrow" w:cs="Open Sans"/>
          <w:b/>
          <w:bCs/>
          <w:spacing w:val="1"/>
          <w:sz w:val="32"/>
          <w:szCs w:val="32"/>
          <w:lang w:eastAsia="it-IT"/>
        </w:rPr>
      </w:pPr>
    </w:p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1419"/>
        <w:gridCol w:w="2481"/>
        <w:gridCol w:w="6449"/>
        <w:gridCol w:w="5528"/>
      </w:tblGrid>
      <w:tr w:rsidR="00775704" w14:paraId="0BC38B18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5EE" w14:textId="77777777" w:rsidR="00775704" w:rsidRDefault="00775704">
            <w:pPr>
              <w:spacing w:line="240" w:lineRule="auto"/>
              <w:jc w:val="center"/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77993BF9" w14:textId="77777777" w:rsidR="00775704" w:rsidRDefault="00775704">
            <w:pPr>
              <w:spacing w:line="240" w:lineRule="auto"/>
              <w:jc w:val="center"/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4C9EA85B" w14:textId="77777777" w:rsidR="00775704" w:rsidRDefault="007757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Nom et prénom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9049" w14:textId="77777777" w:rsidR="00775704" w:rsidRDefault="00775704">
            <w:pPr>
              <w:spacing w:line="360" w:lineRule="auto"/>
              <w:jc w:val="center"/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06852993" w14:textId="77777777" w:rsidR="00775704" w:rsidRDefault="00775704">
            <w:pPr>
              <w:spacing w:line="360" w:lineRule="auto"/>
              <w:jc w:val="center"/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Domaine de compétence selon référentiel</w:t>
            </w:r>
          </w:p>
          <w:p w14:paraId="3D9892FE" w14:textId="77777777" w:rsidR="00775704" w:rsidRDefault="007757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E2A8" w14:textId="77777777" w:rsidR="00775704" w:rsidRDefault="00775704">
            <w:pPr>
              <w:spacing w:line="240" w:lineRule="auto"/>
              <w:jc w:val="center"/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77430C56" w14:textId="77777777" w:rsidR="00775704" w:rsidRDefault="00775704">
            <w:pPr>
              <w:spacing w:line="240" w:lineRule="auto"/>
              <w:jc w:val="center"/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 xml:space="preserve">Description </w:t>
            </w:r>
          </w:p>
          <w:p w14:paraId="623D401E" w14:textId="2BDF022C" w:rsidR="00775704" w:rsidRDefault="007757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synthétique de l’expérience</w:t>
            </w:r>
            <w:r w:rsidR="00C3277C"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 xml:space="preserve"> acquise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A8EC" w14:textId="77777777" w:rsidR="00775704" w:rsidRDefault="00775704">
            <w:pPr>
              <w:spacing w:line="240" w:lineRule="auto"/>
              <w:jc w:val="center"/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204A4066" w14:textId="77777777" w:rsidR="00775704" w:rsidRDefault="00775704">
            <w:pPr>
              <w:spacing w:line="240" w:lineRule="auto"/>
              <w:jc w:val="center"/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</w:pPr>
          </w:p>
          <w:p w14:paraId="5B955AA6" w14:textId="77777777" w:rsidR="00775704" w:rsidRDefault="0077570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Open Sans"/>
                <w:b/>
                <w:bCs/>
                <w:spacing w:val="1"/>
                <w:sz w:val="24"/>
                <w:szCs w:val="24"/>
                <w:lang w:eastAsia="it-IT"/>
              </w:rPr>
              <w:t>Période d’exercice</w:t>
            </w:r>
          </w:p>
        </w:tc>
      </w:tr>
      <w:tr w:rsidR="00775704" w14:paraId="5579A7A6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3B3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294F9BC5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410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F4D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F9E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75704" w14:paraId="300489AA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0D5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8F279F1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EDF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CF5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278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75704" w14:paraId="7282D815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0F4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6AF14471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128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9FB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2D8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75704" w14:paraId="2CB5FFAF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FA3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7B355A2A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82D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733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2A1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75704" w14:paraId="27013379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434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7B8E519A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4AC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56377A8C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250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EA8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75704" w14:paraId="3761E611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486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9BD5208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F5F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769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DF4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75704" w14:paraId="1D9C639D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E81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7077D06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0B6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C11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9A0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75704" w14:paraId="589C9C58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243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69E2FEF7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6A3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D30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957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75704" w14:paraId="77189B58" w14:textId="77777777" w:rsidTr="007757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F96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6AF66B61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69CB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678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C80" w14:textId="77777777" w:rsidR="00775704" w:rsidRDefault="00775704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900A923" w14:textId="77777777" w:rsidR="007B3822" w:rsidRPr="007B3822" w:rsidRDefault="007B3822" w:rsidP="007B3822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fr-FR" w:bidi="fr-FR"/>
        </w:rPr>
      </w:pPr>
      <w:r w:rsidRPr="007B3822">
        <w:rPr>
          <w:rFonts w:ascii="Arial Narrow" w:eastAsia="Times New Roman" w:hAnsi="Arial Narrow"/>
          <w:b/>
          <w:bCs/>
          <w:sz w:val="24"/>
          <w:szCs w:val="24"/>
          <w:u w:val="single"/>
          <w:lang w:eastAsia="fr-FR" w:bidi="fr-FR"/>
        </w:rPr>
        <w:t>Référentiel domaine et sous domaine de compétence</w:t>
      </w:r>
      <w:r w:rsidRPr="007B3822">
        <w:rPr>
          <w:rFonts w:ascii="Arial Narrow" w:eastAsia="Times New Roman" w:hAnsi="Arial Narrow"/>
          <w:sz w:val="24"/>
          <w:szCs w:val="24"/>
          <w:lang w:eastAsia="fr-FR" w:bidi="fr-FR"/>
        </w:rPr>
        <w:t> :</w:t>
      </w:r>
    </w:p>
    <w:p w14:paraId="060C7ECD" w14:textId="77777777" w:rsidR="00775704" w:rsidRDefault="00775704" w:rsidP="00775704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u w:val="single"/>
          <w:lang w:eastAsia="fr-FR" w:bidi="fr-FR"/>
        </w:rPr>
      </w:pPr>
    </w:p>
    <w:p w14:paraId="03E67518" w14:textId="77777777" w:rsidR="007B3822" w:rsidRPr="007B3822" w:rsidRDefault="007B3822" w:rsidP="007B3822">
      <w:pPr>
        <w:spacing w:line="280" w:lineRule="exact"/>
        <w:jc w:val="both"/>
        <w:rPr>
          <w:rFonts w:ascii="Arial Narrow" w:eastAsiaTheme="minorHAnsi" w:hAnsi="Arial Narrow" w:cstheme="minorBidi"/>
          <w:b/>
          <w:lang w:val="fr"/>
        </w:rPr>
      </w:pPr>
      <w:r w:rsidRPr="007B3822">
        <w:rPr>
          <w:rFonts w:ascii="Arial Narrow" w:eastAsiaTheme="minorHAnsi" w:hAnsi="Arial Narrow" w:cstheme="minorBidi"/>
          <w:b/>
          <w:lang w:val="fr"/>
        </w:rPr>
        <w:t>1- STRATÉGIE ET ORGANISATION D’ENTREPRISE</w:t>
      </w:r>
    </w:p>
    <w:p w14:paraId="3B26CA93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>1.1. Services de soutien à l’introduction de nouveaux produits ou services sur le marché</w:t>
      </w:r>
    </w:p>
    <w:p w14:paraId="5A362D5C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>1.2. Services de soutien à l’innovation par l’offre et au management de l’innovation</w:t>
      </w:r>
    </w:p>
    <w:p w14:paraId="6B7718F5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1.3. Services de soutien au changement organisationnel </w:t>
      </w:r>
    </w:p>
    <w:p w14:paraId="5305567B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>1.4. Gestion de la chaîne logistique</w:t>
      </w:r>
    </w:p>
    <w:p w14:paraId="0ED380AE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1.5. Soutien à la gestion de la qualité et à la certification avancée </w:t>
      </w:r>
    </w:p>
    <w:p w14:paraId="62FC5E70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1.6. Services de soutien à l’innovation managériale </w:t>
      </w:r>
    </w:p>
    <w:p w14:paraId="06BFD69E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>1.7. Soutien à l’innovation dans la gestion de la relation client.</w:t>
      </w:r>
    </w:p>
    <w:p w14:paraId="08991C68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</w:p>
    <w:p w14:paraId="74E36D50" w14:textId="77777777" w:rsidR="007B3822" w:rsidRPr="007B3822" w:rsidRDefault="007B3822" w:rsidP="007B3822">
      <w:pPr>
        <w:spacing w:line="280" w:lineRule="atLeast"/>
        <w:jc w:val="both"/>
        <w:rPr>
          <w:rFonts w:ascii="Arial Narrow" w:eastAsiaTheme="minorHAnsi" w:hAnsi="Arial Narrow" w:cstheme="minorBidi"/>
          <w:b/>
          <w:lang w:val="fr"/>
        </w:rPr>
      </w:pPr>
      <w:r w:rsidRPr="007B3822">
        <w:rPr>
          <w:rFonts w:ascii="Arial Narrow" w:eastAsiaTheme="minorHAnsi" w:hAnsi="Arial Narrow" w:cstheme="minorBidi"/>
          <w:b/>
          <w:lang w:val="fr"/>
        </w:rPr>
        <w:t xml:space="preserve">2 - INNOVATION TECHNOLOGIQUE ET TRANSFERT DE TECHNOLOGIE </w:t>
      </w:r>
    </w:p>
    <w:p w14:paraId="53E5845B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>2.1. Services de soutien pour la recherche-développement et l’innovation de produit et / ou de procédé, y compris les procès du numérique</w:t>
      </w:r>
    </w:p>
    <w:p w14:paraId="27137F49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2.2. Services de conception technique pour la recherche-développement et pour l’innovation de produit et / ou de procédé, y compris le « smart manufacturing »  </w:t>
      </w:r>
    </w:p>
    <w:p w14:paraId="3206E066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2.3. Services de gestion de la propriété intellectuelle </w:t>
      </w:r>
    </w:p>
    <w:p w14:paraId="4CDB6A77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2.4. Services pour le développement de l’efficacité environnementale et la mise en place ou le renforcement de la démarche Responsabilité Sociétale et Environnementale </w:t>
      </w:r>
    </w:p>
    <w:p w14:paraId="18904707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2.5. Services pour la valorisation de la propriété intellectuelle </w:t>
      </w:r>
    </w:p>
    <w:p w14:paraId="72018B51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2.6. Services de transfert de technologie. </w:t>
      </w:r>
    </w:p>
    <w:p w14:paraId="404A8FF9" w14:textId="77777777" w:rsidR="007B3822" w:rsidRPr="007B3822" w:rsidRDefault="007B3822" w:rsidP="007B3822">
      <w:pPr>
        <w:spacing w:line="280" w:lineRule="exact"/>
        <w:jc w:val="both"/>
        <w:rPr>
          <w:rFonts w:ascii="Arial Narrow" w:eastAsiaTheme="minorHAnsi" w:hAnsi="Arial Narrow" w:cs="Open Sans"/>
        </w:rPr>
      </w:pPr>
    </w:p>
    <w:p w14:paraId="07820C84" w14:textId="77777777" w:rsidR="007B3822" w:rsidRPr="007B3822" w:rsidRDefault="007B3822" w:rsidP="007B3822">
      <w:pPr>
        <w:spacing w:line="280" w:lineRule="atLeast"/>
        <w:jc w:val="both"/>
        <w:rPr>
          <w:rFonts w:ascii="Arial Narrow" w:eastAsiaTheme="minorHAnsi" w:hAnsi="Arial Narrow" w:cstheme="minorBidi"/>
          <w:b/>
          <w:lang w:val="fr"/>
        </w:rPr>
      </w:pPr>
      <w:r w:rsidRPr="007B3822">
        <w:rPr>
          <w:rFonts w:ascii="Arial Narrow" w:eastAsiaTheme="minorHAnsi" w:hAnsi="Arial Narrow" w:cstheme="minorBidi"/>
          <w:b/>
          <w:lang w:val="fr"/>
        </w:rPr>
        <w:t xml:space="preserve">3 - ACCÈS AU CRÉDIT ET FINANCEMENT PUBLIC </w:t>
      </w:r>
    </w:p>
    <w:p w14:paraId="2326DB41" w14:textId="77777777" w:rsidR="007B382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 xml:space="preserve">3.1. Services qualifiés de conseil en innovation et ingénierie financières </w:t>
      </w:r>
    </w:p>
    <w:p w14:paraId="21AD5596" w14:textId="09657E3B" w:rsidR="00160752" w:rsidRPr="007B3822" w:rsidRDefault="007B3822" w:rsidP="007B3822">
      <w:pPr>
        <w:spacing w:after="0" w:line="280" w:lineRule="exact"/>
        <w:ind w:left="360"/>
        <w:contextualSpacing/>
        <w:jc w:val="both"/>
        <w:rPr>
          <w:rFonts w:ascii="Arial Narrow" w:eastAsiaTheme="minorEastAsia" w:hAnsi="Arial Narrow" w:cstheme="minorBidi"/>
          <w:sz w:val="24"/>
          <w:szCs w:val="24"/>
          <w:lang w:val="fr" w:eastAsia="it-IT"/>
        </w:rPr>
      </w:pPr>
      <w:r w:rsidRPr="007B3822">
        <w:rPr>
          <w:rFonts w:ascii="Arial Narrow" w:eastAsiaTheme="minorEastAsia" w:hAnsi="Arial Narrow" w:cstheme="minorBidi"/>
          <w:sz w:val="24"/>
          <w:szCs w:val="24"/>
          <w:lang w:val="fr" w:eastAsia="it-IT"/>
        </w:rPr>
        <w:t>3.2. Services de recherche de financement public.</w:t>
      </w:r>
    </w:p>
    <w:sectPr w:rsidR="00160752" w:rsidRPr="007B3822" w:rsidSect="007757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04"/>
    <w:rsid w:val="00160752"/>
    <w:rsid w:val="00775704"/>
    <w:rsid w:val="007B3822"/>
    <w:rsid w:val="00C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9FD9"/>
  <w15:chartTrackingRefBased/>
  <w15:docId w15:val="{417F1FF3-07D3-482A-9A50-EEDAD22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04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57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8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 Caroline</dc:creator>
  <cp:keywords/>
  <dc:description/>
  <cp:lastModifiedBy>Catherine</cp:lastModifiedBy>
  <cp:revision>3</cp:revision>
  <dcterms:created xsi:type="dcterms:W3CDTF">2020-10-07T14:17:00Z</dcterms:created>
  <dcterms:modified xsi:type="dcterms:W3CDTF">2020-10-09T07:55:00Z</dcterms:modified>
</cp:coreProperties>
</file>