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D74A" w14:textId="52DC862C" w:rsidR="00B24ACB" w:rsidRPr="0050756E" w:rsidRDefault="00B24ACB" w:rsidP="00B24ACB">
      <w:pPr>
        <w:pStyle w:val="Paragraphedeliste"/>
        <w:numPr>
          <w:ilvl w:val="0"/>
          <w:numId w:val="3"/>
        </w:numPr>
        <w:rPr>
          <w:lang w:val="it-IT"/>
        </w:rPr>
      </w:pPr>
      <w:r w:rsidRPr="0050756E">
        <w:rPr>
          <w:lang w:val="fr"/>
        </w:rPr>
        <w:t>LE SCORE MAXIMUM EST DE 130 SELON LES VENTILATIONS DU TABLEAU CI-DESSOUS</w:t>
      </w:r>
    </w:p>
    <w:p w14:paraId="5D8E08B9" w14:textId="69FD7C0F" w:rsidR="00B24ACB" w:rsidRPr="0050756E" w:rsidRDefault="00B24ACB" w:rsidP="00B24ACB">
      <w:pPr>
        <w:pStyle w:val="Paragraphedeliste"/>
        <w:numPr>
          <w:ilvl w:val="0"/>
          <w:numId w:val="3"/>
        </w:numPr>
        <w:rPr>
          <w:lang w:val="it-IT"/>
        </w:rPr>
      </w:pPr>
      <w:r w:rsidRPr="0050756E">
        <w:rPr>
          <w:lang w:val="fr"/>
        </w:rPr>
        <w:t xml:space="preserve">POUR ÊTRE ADMIS AU CLASSEMENT, IL EST NÉCESSAIRE DE DÉPASSER LE SCORE MINIMUM DE </w:t>
      </w:r>
      <w:r w:rsidRPr="0050756E">
        <w:rPr>
          <w:b/>
          <w:bCs/>
          <w:lang w:val="fr"/>
        </w:rPr>
        <w:t xml:space="preserve">70 POINTS </w:t>
      </w:r>
    </w:p>
    <w:p w14:paraId="301B759E" w14:textId="77777777" w:rsidR="006A03D5" w:rsidRDefault="006A03D5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2"/>
        <w:gridCol w:w="2433"/>
        <w:gridCol w:w="4851"/>
        <w:gridCol w:w="2116"/>
        <w:gridCol w:w="2099"/>
        <w:gridCol w:w="2096"/>
      </w:tblGrid>
      <w:tr w:rsidR="00EA7F37" w14:paraId="1763A764" w14:textId="77777777" w:rsidTr="00EA7F37">
        <w:trPr>
          <w:trHeight w:val="146"/>
        </w:trPr>
        <w:tc>
          <w:tcPr>
            <w:tcW w:w="239" w:type="pct"/>
          </w:tcPr>
          <w:p w14:paraId="130A08DA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b/>
                <w:bCs/>
                <w:lang w:val="fr"/>
              </w:rPr>
              <w:t>Â¡n</w:t>
            </w:r>
          </w:p>
        </w:tc>
        <w:tc>
          <w:tcPr>
            <w:tcW w:w="852" w:type="pct"/>
          </w:tcPr>
          <w:p w14:paraId="030244A7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b/>
                <w:bCs/>
                <w:lang w:val="fr"/>
              </w:rPr>
              <w:t>Politique</w:t>
            </w:r>
          </w:p>
        </w:tc>
        <w:tc>
          <w:tcPr>
            <w:tcW w:w="1699" w:type="pct"/>
          </w:tcPr>
          <w:p w14:paraId="55B1DAE0" w14:textId="77777777" w:rsidR="00EA7F37" w:rsidRPr="00964B60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64B60">
              <w:rPr>
                <w:b/>
                <w:bCs/>
                <w:lang w:val="fr"/>
              </w:rPr>
              <w:t>Paramètres</w:t>
            </w:r>
          </w:p>
        </w:tc>
        <w:tc>
          <w:tcPr>
            <w:tcW w:w="741" w:type="pct"/>
          </w:tcPr>
          <w:p w14:paraId="23269E7B" w14:textId="77777777" w:rsidR="00EA7F37" w:rsidRPr="00964B60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64B60">
              <w:rPr>
                <w:b/>
                <w:bCs/>
                <w:lang w:val="fr"/>
              </w:rPr>
              <w:t>Score de la phase d’évaluation</w:t>
            </w:r>
          </w:p>
        </w:tc>
        <w:tc>
          <w:tcPr>
            <w:tcW w:w="735" w:type="pct"/>
          </w:tcPr>
          <w:p w14:paraId="1B9A9A72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b/>
                <w:bCs/>
                <w:lang w:val="fr"/>
              </w:rPr>
              <w:t>Score minimum</w:t>
            </w:r>
          </w:p>
        </w:tc>
        <w:tc>
          <w:tcPr>
            <w:tcW w:w="734" w:type="pct"/>
          </w:tcPr>
          <w:p w14:paraId="1523BF04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b/>
                <w:bCs/>
                <w:lang w:val="fr"/>
              </w:rPr>
              <w:t>Score maximum</w:t>
            </w:r>
          </w:p>
        </w:tc>
      </w:tr>
      <w:tr w:rsidR="00EA7F37" w14:paraId="405FE795" w14:textId="77777777" w:rsidTr="00EA7F37">
        <w:trPr>
          <w:trHeight w:val="1184"/>
        </w:trPr>
        <w:tc>
          <w:tcPr>
            <w:tcW w:w="239" w:type="pct"/>
            <w:vMerge w:val="restart"/>
          </w:tcPr>
          <w:p w14:paraId="65195DE0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1</w:t>
            </w:r>
          </w:p>
        </w:tc>
        <w:tc>
          <w:tcPr>
            <w:tcW w:w="852" w:type="pct"/>
            <w:vMerge w:val="restart"/>
          </w:tcPr>
          <w:p w14:paraId="19333D35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Impact « circulaire »</w:t>
            </w:r>
          </w:p>
        </w:tc>
        <w:tc>
          <w:tcPr>
            <w:tcW w:w="1699" w:type="pct"/>
          </w:tcPr>
          <w:p w14:paraId="259FC9F0" w14:textId="1CB48275" w:rsidR="00EA7F37" w:rsidRDefault="00EA7F37" w:rsidP="00413117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 xml:space="preserve">Clarté et </w:t>
            </w:r>
            <w:r w:rsidR="00AC4D30">
              <w:rPr>
                <w:lang w:val="fr"/>
              </w:rPr>
              <w:t>pertinence</w:t>
            </w:r>
            <w:r>
              <w:rPr>
                <w:lang w:val="fr"/>
              </w:rPr>
              <w:t xml:space="preserve"> de la proposition en particulier en ce qui concerne l</w:t>
            </w:r>
            <w:r w:rsidR="00AC4D30">
              <w:rPr>
                <w:lang w:val="fr"/>
              </w:rPr>
              <w:t>’</w:t>
            </w:r>
            <w:r>
              <w:rPr>
                <w:lang w:val="fr"/>
              </w:rPr>
              <w:t xml:space="preserve">augmentation du niveau de circularité de la chaîne d’approvisionnement pendant la </w:t>
            </w:r>
            <w:r w:rsidRPr="007E16D4">
              <w:rPr>
                <w:b/>
                <w:bCs/>
                <w:u w:val="single"/>
                <w:lang w:val="fr"/>
              </w:rPr>
              <w:t>conception/approvisionnement</w:t>
            </w:r>
          </w:p>
          <w:p w14:paraId="7E12D101" w14:textId="77777777" w:rsidR="00EA7F37" w:rsidRPr="007964CB" w:rsidRDefault="00EA7F37" w:rsidP="00413117">
            <w:pPr>
              <w:widowControl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41" w:type="pct"/>
          </w:tcPr>
          <w:p w14:paraId="32E904E1" w14:textId="346B0BB4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 w:val="restart"/>
          </w:tcPr>
          <w:p w14:paraId="306D0CC6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 w:val="restart"/>
          </w:tcPr>
          <w:p w14:paraId="628FC405" w14:textId="08EC8434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E16D4">
              <w:rPr>
                <w:b/>
                <w:bCs/>
                <w:lang w:val="fr"/>
              </w:rPr>
              <w:t>30</w:t>
            </w:r>
          </w:p>
        </w:tc>
      </w:tr>
      <w:tr w:rsidR="00EA7F37" w14:paraId="724BDC32" w14:textId="77777777" w:rsidTr="00EA7F37">
        <w:trPr>
          <w:trHeight w:val="1184"/>
        </w:trPr>
        <w:tc>
          <w:tcPr>
            <w:tcW w:w="239" w:type="pct"/>
            <w:vMerge/>
          </w:tcPr>
          <w:p w14:paraId="3A440AF5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5F652BF3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78ACE286" w14:textId="48CAB5D8" w:rsidR="00EA7F37" w:rsidRPr="007E16D4" w:rsidRDefault="00EA7F37" w:rsidP="00413117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u w:val="single"/>
              </w:rPr>
            </w:pPr>
            <w:r>
              <w:rPr>
                <w:lang w:val="fr"/>
              </w:rPr>
              <w:t xml:space="preserve">Clarté et </w:t>
            </w:r>
            <w:r w:rsidR="00AC4D30">
              <w:rPr>
                <w:lang w:val="fr"/>
              </w:rPr>
              <w:t>pertinence</w:t>
            </w:r>
            <w:r>
              <w:rPr>
                <w:lang w:val="fr"/>
              </w:rPr>
              <w:t xml:space="preserve"> de la proposition en particulier en ce qui </w:t>
            </w:r>
            <w:r w:rsidR="00AC4D30">
              <w:rPr>
                <w:lang w:val="fr"/>
              </w:rPr>
              <w:t>concerne l’augmentation du niveau de circularité de la chaîne d’approvisionnement pendant la</w:t>
            </w:r>
            <w:r w:rsidR="00AC4D30" w:rsidRPr="007E16D4">
              <w:rPr>
                <w:b/>
                <w:bCs/>
                <w:u w:val="single"/>
                <w:lang w:val="fr"/>
              </w:rPr>
              <w:t xml:space="preserve"> </w:t>
            </w:r>
            <w:r w:rsidRPr="007E16D4">
              <w:rPr>
                <w:b/>
                <w:bCs/>
                <w:u w:val="single"/>
                <w:lang w:val="fr"/>
              </w:rPr>
              <w:t>distribution/utilisation</w:t>
            </w:r>
          </w:p>
          <w:p w14:paraId="1B7B272B" w14:textId="77777777" w:rsidR="00EA7F37" w:rsidRDefault="00EA7F37" w:rsidP="00413117">
            <w:pPr>
              <w:widowControl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41" w:type="pct"/>
          </w:tcPr>
          <w:p w14:paraId="5E9A5318" w14:textId="44F31FA6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61729B94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04C77122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42B3B295" w14:textId="77777777" w:rsidTr="00EA7F37">
        <w:trPr>
          <w:trHeight w:val="1184"/>
        </w:trPr>
        <w:tc>
          <w:tcPr>
            <w:tcW w:w="239" w:type="pct"/>
            <w:vMerge/>
          </w:tcPr>
          <w:p w14:paraId="634B68DE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5F02EC7B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7189E545" w14:textId="2AECCDC0" w:rsidR="00EA7F37" w:rsidRPr="007E16D4" w:rsidRDefault="00EA7F37" w:rsidP="00413117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u w:val="single"/>
              </w:rPr>
            </w:pPr>
            <w:r>
              <w:rPr>
                <w:lang w:val="fr"/>
              </w:rPr>
              <w:t xml:space="preserve">Clarté et </w:t>
            </w:r>
            <w:r w:rsidR="00AC4D30">
              <w:rPr>
                <w:lang w:val="fr"/>
              </w:rPr>
              <w:t xml:space="preserve">pertinence </w:t>
            </w:r>
            <w:r>
              <w:rPr>
                <w:lang w:val="fr"/>
              </w:rPr>
              <w:t>de la proposition en particulier en ce qui concerne l</w:t>
            </w:r>
            <w:r w:rsidR="00AC4D30">
              <w:rPr>
                <w:lang w:val="fr"/>
              </w:rPr>
              <w:t xml:space="preserve">’augmentation </w:t>
            </w:r>
            <w:r>
              <w:rPr>
                <w:lang w:val="fr"/>
              </w:rPr>
              <w:t xml:space="preserve">du niveau de circularité de la chaîne d’approvisionnement pendant la </w:t>
            </w:r>
            <w:r w:rsidRPr="00AC4D30">
              <w:rPr>
                <w:b/>
                <w:bCs/>
                <w:u w:val="single"/>
                <w:lang w:val="fr"/>
              </w:rPr>
              <w:t>collecte</w:t>
            </w:r>
            <w:r>
              <w:rPr>
                <w:lang w:val="fr"/>
              </w:rPr>
              <w:t xml:space="preserve"> et le </w:t>
            </w:r>
            <w:r w:rsidRPr="007E16D4">
              <w:rPr>
                <w:b/>
                <w:bCs/>
                <w:u w:val="single"/>
                <w:lang w:val="fr"/>
              </w:rPr>
              <w:t>recyclage</w:t>
            </w:r>
          </w:p>
          <w:p w14:paraId="522D7443" w14:textId="77777777" w:rsidR="00EA7F37" w:rsidRDefault="00EA7F37" w:rsidP="00413117">
            <w:pPr>
              <w:widowControl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41" w:type="pct"/>
          </w:tcPr>
          <w:p w14:paraId="34D21345" w14:textId="55820B15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7A3A0B3D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1FCE26D0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6E99B078" w14:textId="77777777" w:rsidTr="00EA7F37">
        <w:trPr>
          <w:trHeight w:val="2159"/>
        </w:trPr>
        <w:tc>
          <w:tcPr>
            <w:tcW w:w="239" w:type="pct"/>
            <w:vMerge w:val="restart"/>
          </w:tcPr>
          <w:p w14:paraId="02D6E0BD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2</w:t>
            </w:r>
          </w:p>
        </w:tc>
        <w:tc>
          <w:tcPr>
            <w:tcW w:w="852" w:type="pct"/>
            <w:vMerge w:val="restart"/>
          </w:tcPr>
          <w:p w14:paraId="087867A3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Innovation</w:t>
            </w:r>
          </w:p>
        </w:tc>
        <w:tc>
          <w:tcPr>
            <w:tcW w:w="1699" w:type="pct"/>
          </w:tcPr>
          <w:p w14:paraId="4ED124CC" w14:textId="6841074A" w:rsidR="00EA7F37" w:rsidRDefault="0050756E" w:rsidP="0050756E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Développement</w:t>
            </w:r>
            <w:r w:rsidR="00EA7F37" w:rsidRPr="00B45683">
              <w:rPr>
                <w:lang w:val="fr"/>
              </w:rPr>
              <w:t xml:space="preserve"> </w:t>
            </w:r>
            <w:r>
              <w:rPr>
                <w:lang w:val="fr"/>
              </w:rPr>
              <w:t>de nouveaux processus de</w:t>
            </w:r>
            <w:r w:rsidR="00AC4D30">
              <w:rPr>
                <w:lang w:val="fr"/>
              </w:rPr>
              <w:t xml:space="preserve"> </w:t>
            </w:r>
            <w:r w:rsidR="00EA7F37" w:rsidRPr="00B45683">
              <w:rPr>
                <w:lang w:val="fr"/>
              </w:rPr>
              <w:t xml:space="preserve">production, </w:t>
            </w:r>
            <w:r>
              <w:rPr>
                <w:lang w:val="fr"/>
              </w:rPr>
              <w:t xml:space="preserve">de logistique et </w:t>
            </w:r>
            <w:r w:rsidR="00EA7F37" w:rsidRPr="007E16D4">
              <w:rPr>
                <w:b/>
                <w:bCs/>
                <w:lang w:val="fr"/>
              </w:rPr>
              <w:t>d’organisation</w:t>
            </w:r>
            <w:r>
              <w:rPr>
                <w:lang w:val="fr"/>
              </w:rPr>
              <w:t xml:space="preserve"> basés sur des modèles </w:t>
            </w:r>
            <w:r w:rsidR="00AC4D30">
              <w:rPr>
                <w:lang w:val="fr"/>
              </w:rPr>
              <w:t>commerciaux</w:t>
            </w:r>
            <w:r w:rsidR="00EA7F37" w:rsidRPr="007E16D4">
              <w:rPr>
                <w:lang w:val="fr"/>
              </w:rPr>
              <w:t xml:space="preserve"> circulaires</w:t>
            </w:r>
            <w:r>
              <w:rPr>
                <w:lang w:val="fr"/>
              </w:rPr>
              <w:t xml:space="preserve"> et capables de promouvoir la durabilité, le dé</w:t>
            </w:r>
            <w:r w:rsidR="00AC4D30">
              <w:rPr>
                <w:lang w:val="fr"/>
              </w:rPr>
              <w:t>sassemblage</w:t>
            </w:r>
            <w:r>
              <w:rPr>
                <w:lang w:val="fr"/>
              </w:rPr>
              <w:t xml:space="preserve">, la recyclabilité et la réutilisation et/ou la diffusion de pratiques de réutilisation et/ou de traitement pour la valorisation des </w:t>
            </w:r>
            <w:r w:rsidR="00EA7F37" w:rsidRPr="007E16D4">
              <w:rPr>
                <w:u w:val="single"/>
                <w:lang w:val="fr"/>
              </w:rPr>
              <w:t>produits/déchets en fin de vie</w:t>
            </w:r>
            <w:r>
              <w:rPr>
                <w:lang w:val="fr"/>
              </w:rPr>
              <w:t xml:space="preserve"> </w:t>
            </w:r>
            <w:r w:rsidR="00EA7F37" w:rsidRPr="00B45683">
              <w:rPr>
                <w:lang w:val="fr"/>
              </w:rPr>
              <w:t xml:space="preserve"> </w:t>
            </w:r>
          </w:p>
        </w:tc>
        <w:tc>
          <w:tcPr>
            <w:tcW w:w="741" w:type="pct"/>
          </w:tcPr>
          <w:p w14:paraId="487D730F" w14:textId="2D188FB4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15</w:t>
            </w:r>
          </w:p>
        </w:tc>
        <w:tc>
          <w:tcPr>
            <w:tcW w:w="735" w:type="pct"/>
            <w:vMerge/>
          </w:tcPr>
          <w:p w14:paraId="0FB3F532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 w:val="restart"/>
          </w:tcPr>
          <w:p w14:paraId="05D2447A" w14:textId="0E571026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E16D4">
              <w:rPr>
                <w:b/>
                <w:bCs/>
                <w:lang w:val="fr"/>
              </w:rPr>
              <w:t>30</w:t>
            </w:r>
          </w:p>
        </w:tc>
      </w:tr>
      <w:tr w:rsidR="00EA7F37" w14:paraId="514E27ED" w14:textId="77777777" w:rsidTr="0050756E">
        <w:trPr>
          <w:trHeight w:val="1125"/>
        </w:trPr>
        <w:tc>
          <w:tcPr>
            <w:tcW w:w="239" w:type="pct"/>
            <w:vMerge/>
          </w:tcPr>
          <w:p w14:paraId="1913D59F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28F6E923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6AF5E474" w14:textId="77777777" w:rsidR="00EA7F37" w:rsidRPr="00B45683" w:rsidRDefault="00EA7F37" w:rsidP="00413117">
            <w:pPr>
              <w:jc w:val="both"/>
              <w:rPr>
                <w:rFonts w:ascii="Times New Roman" w:eastAsia="Calibri" w:hAnsi="Times New Roman"/>
              </w:rPr>
            </w:pPr>
            <w:r w:rsidRPr="00B45683">
              <w:rPr>
                <w:lang w:val="fr"/>
              </w:rPr>
              <w:t xml:space="preserve">Utilisation de technologies 4.0 et de processus numériques visant à optimiser et surveiller </w:t>
            </w:r>
            <w:r w:rsidRPr="007E16D4">
              <w:rPr>
                <w:u w:val="single"/>
                <w:lang w:val="fr"/>
              </w:rPr>
              <w:t>la consommation d’énergie et les émissions</w:t>
            </w:r>
          </w:p>
        </w:tc>
        <w:tc>
          <w:tcPr>
            <w:tcW w:w="741" w:type="pct"/>
          </w:tcPr>
          <w:p w14:paraId="764A2F39" w14:textId="224DB11A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5</w:t>
            </w:r>
          </w:p>
        </w:tc>
        <w:tc>
          <w:tcPr>
            <w:tcW w:w="735" w:type="pct"/>
            <w:vMerge/>
          </w:tcPr>
          <w:p w14:paraId="17028BEE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57BEE46E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7DAA9567" w14:textId="77777777" w:rsidTr="0050756E">
        <w:trPr>
          <w:trHeight w:val="1351"/>
        </w:trPr>
        <w:tc>
          <w:tcPr>
            <w:tcW w:w="239" w:type="pct"/>
            <w:vMerge/>
          </w:tcPr>
          <w:p w14:paraId="3E5E9261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4D226090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2660E1D7" w14:textId="29555246" w:rsidR="00EA7F37" w:rsidRDefault="0050756E" w:rsidP="0041311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Utilisation</w:t>
            </w:r>
            <w:r w:rsidR="00EA7F37">
              <w:rPr>
                <w:lang w:val="fr"/>
              </w:rPr>
              <w:t xml:space="preserve"> de</w:t>
            </w:r>
            <w:r>
              <w:rPr>
                <w:lang w:val="fr"/>
              </w:rPr>
              <w:t xml:space="preserve"> </w:t>
            </w:r>
            <w:r w:rsidR="00EA7F37" w:rsidRPr="007E16D4">
              <w:rPr>
                <w:b/>
                <w:bCs/>
                <w:lang w:val="fr"/>
              </w:rPr>
              <w:t>plates-formes/technologies numériques</w:t>
            </w:r>
            <w:r>
              <w:rPr>
                <w:lang w:val="fr"/>
              </w:rPr>
              <w:t xml:space="preserve"> ou d’autres outils d’innovation pour soutenir la chaîne d’approvisionnement qui ferme la chaîne de valeur avec une meilleure durabilité</w:t>
            </w:r>
            <w:r w:rsidR="00EA7F37">
              <w:rPr>
                <w:lang w:val="fr"/>
              </w:rPr>
              <w:t xml:space="preserve"> technique, économique et environnementale</w:t>
            </w:r>
          </w:p>
        </w:tc>
        <w:tc>
          <w:tcPr>
            <w:tcW w:w="741" w:type="pct"/>
          </w:tcPr>
          <w:p w14:paraId="6DC4AB20" w14:textId="43B31B08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2CE5E968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0B37FB26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10FCFCD5" w14:textId="77777777" w:rsidTr="00EA7F37">
        <w:trPr>
          <w:trHeight w:val="589"/>
        </w:trPr>
        <w:tc>
          <w:tcPr>
            <w:tcW w:w="239" w:type="pct"/>
            <w:vMerge w:val="restart"/>
          </w:tcPr>
          <w:p w14:paraId="14327DE4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3</w:t>
            </w:r>
          </w:p>
        </w:tc>
        <w:tc>
          <w:tcPr>
            <w:tcW w:w="852" w:type="pct"/>
            <w:vMerge w:val="restart"/>
          </w:tcPr>
          <w:p w14:paraId="701455D6" w14:textId="07FA5A6D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6A03D5">
              <w:rPr>
                <w:lang w:val="fr"/>
              </w:rPr>
              <w:t>F</w:t>
            </w:r>
            <w:r>
              <w:rPr>
                <w:lang w:val="fr"/>
              </w:rPr>
              <w:t>adaptabilité et perspectives de marché</w:t>
            </w:r>
          </w:p>
        </w:tc>
        <w:tc>
          <w:tcPr>
            <w:tcW w:w="1699" w:type="pct"/>
          </w:tcPr>
          <w:p w14:paraId="18F35DE8" w14:textId="2E900FCA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7E16D4">
              <w:rPr>
                <w:b/>
                <w:bCs/>
                <w:lang w:val="fr"/>
              </w:rPr>
              <w:t>Type de modèle d’</w:t>
            </w:r>
            <w:r w:rsidR="00AC4D30">
              <w:rPr>
                <w:b/>
                <w:bCs/>
                <w:lang w:val="fr"/>
              </w:rPr>
              <w:t>entreprise</w:t>
            </w:r>
            <w:r>
              <w:rPr>
                <w:lang w:val="fr"/>
              </w:rPr>
              <w:t xml:space="preserve"> proposé et cohérence avec les principes de l’économie circulaire</w:t>
            </w:r>
          </w:p>
        </w:tc>
        <w:tc>
          <w:tcPr>
            <w:tcW w:w="741" w:type="pct"/>
          </w:tcPr>
          <w:p w14:paraId="4B665776" w14:textId="0C47A3D0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30361CF7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 w:val="restart"/>
          </w:tcPr>
          <w:p w14:paraId="2701F411" w14:textId="2246A874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E16D4">
              <w:rPr>
                <w:b/>
                <w:bCs/>
                <w:lang w:val="fr"/>
              </w:rPr>
              <w:t>30</w:t>
            </w:r>
          </w:p>
        </w:tc>
      </w:tr>
      <w:tr w:rsidR="00EA7F37" w14:paraId="552A5464" w14:textId="77777777" w:rsidTr="00EA7F37">
        <w:trPr>
          <w:trHeight w:val="589"/>
        </w:trPr>
        <w:tc>
          <w:tcPr>
            <w:tcW w:w="239" w:type="pct"/>
            <w:vMerge/>
          </w:tcPr>
          <w:p w14:paraId="547C23E3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39799142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61DD0705" w14:textId="39CEF035" w:rsidR="00EA7F37" w:rsidRDefault="00AC4D30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b/>
                <w:bCs/>
                <w:lang w:val="fr"/>
              </w:rPr>
              <w:t>A</w:t>
            </w:r>
            <w:r w:rsidR="00EA7F37" w:rsidRPr="007E16D4">
              <w:rPr>
                <w:b/>
                <w:bCs/>
                <w:lang w:val="fr"/>
              </w:rPr>
              <w:t xml:space="preserve">nalyse </w:t>
            </w:r>
            <w:r w:rsidRPr="007E16D4">
              <w:rPr>
                <w:b/>
                <w:bCs/>
                <w:lang w:val="fr"/>
              </w:rPr>
              <w:t>du</w:t>
            </w:r>
            <w:r>
              <w:rPr>
                <w:lang w:val="fr"/>
              </w:rPr>
              <w:t xml:space="preserve"> marché</w:t>
            </w:r>
            <w:r w:rsidR="00EA7F37">
              <w:rPr>
                <w:lang w:val="fr"/>
              </w:rPr>
              <w:t xml:space="preserve"> de référence</w:t>
            </w:r>
          </w:p>
        </w:tc>
        <w:tc>
          <w:tcPr>
            <w:tcW w:w="741" w:type="pct"/>
          </w:tcPr>
          <w:p w14:paraId="77632B2C" w14:textId="5964148A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327C2774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60025957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0A3546B7" w14:textId="77777777" w:rsidTr="00EA7F37">
        <w:trPr>
          <w:trHeight w:val="589"/>
        </w:trPr>
        <w:tc>
          <w:tcPr>
            <w:tcW w:w="239" w:type="pct"/>
            <w:vMerge/>
          </w:tcPr>
          <w:p w14:paraId="53F46ED9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634D5199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441C0E67" w14:textId="26C75E76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 xml:space="preserve">Fiabilité des </w:t>
            </w:r>
            <w:r w:rsidR="00AC4D30">
              <w:rPr>
                <w:lang w:val="fr"/>
              </w:rPr>
              <w:t>effet</w:t>
            </w:r>
            <w:r w:rsidRPr="007E16D4">
              <w:rPr>
                <w:b/>
                <w:bCs/>
                <w:lang w:val="fr"/>
              </w:rPr>
              <w:t>s économiques</w:t>
            </w:r>
            <w:r>
              <w:rPr>
                <w:lang w:val="fr"/>
              </w:rPr>
              <w:t xml:space="preserve"> du projet</w:t>
            </w:r>
          </w:p>
        </w:tc>
        <w:tc>
          <w:tcPr>
            <w:tcW w:w="741" w:type="pct"/>
          </w:tcPr>
          <w:p w14:paraId="03616AA6" w14:textId="732B8E4D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4B4524FE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36A8F113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52BE7D7C" w14:textId="77777777" w:rsidTr="00EA7F37">
        <w:trPr>
          <w:trHeight w:val="594"/>
        </w:trPr>
        <w:tc>
          <w:tcPr>
            <w:tcW w:w="239" w:type="pct"/>
            <w:vMerge w:val="restart"/>
          </w:tcPr>
          <w:p w14:paraId="38E681AB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4</w:t>
            </w:r>
          </w:p>
        </w:tc>
        <w:tc>
          <w:tcPr>
            <w:tcW w:w="852" w:type="pct"/>
            <w:vMerge w:val="restart"/>
          </w:tcPr>
          <w:p w14:paraId="7E0956E2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Reproductibilité</w:t>
            </w:r>
          </w:p>
        </w:tc>
        <w:tc>
          <w:tcPr>
            <w:tcW w:w="1699" w:type="pct"/>
          </w:tcPr>
          <w:p w14:paraId="71A10834" w14:textId="26C7F38E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 xml:space="preserve">Clarté, exhaustivité et </w:t>
            </w:r>
            <w:r w:rsidR="00AC4D30">
              <w:rPr>
                <w:lang w:val="fr"/>
              </w:rPr>
              <w:t>solidité</w:t>
            </w:r>
            <w:r w:rsidRPr="007E16D4">
              <w:rPr>
                <w:b/>
                <w:bCs/>
                <w:lang w:val="fr"/>
              </w:rPr>
              <w:t xml:space="preserve"> de la stratégie de</w:t>
            </w:r>
            <w:r>
              <w:rPr>
                <w:lang w:val="fr"/>
              </w:rPr>
              <w:t xml:space="preserve"> réplication et de transfert de l’idée de conception à l’intérieur des </w:t>
            </w:r>
            <w:r w:rsidR="00AC4D30" w:rsidRPr="007E16D4">
              <w:rPr>
                <w:u w:val="single"/>
                <w:lang w:val="fr"/>
              </w:rPr>
              <w:t>frontières</w:t>
            </w:r>
            <w:r w:rsidR="00AC4D30">
              <w:rPr>
                <w:lang w:val="fr"/>
              </w:rPr>
              <w:t xml:space="preserve"> nationales</w:t>
            </w:r>
          </w:p>
        </w:tc>
        <w:tc>
          <w:tcPr>
            <w:tcW w:w="741" w:type="pct"/>
          </w:tcPr>
          <w:p w14:paraId="49C4AE13" w14:textId="451516D9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1956DA0F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 w:val="restart"/>
          </w:tcPr>
          <w:p w14:paraId="33F82C0B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E16D4">
              <w:rPr>
                <w:b/>
                <w:bCs/>
                <w:lang w:val="fr"/>
              </w:rPr>
              <w:t>20</w:t>
            </w:r>
          </w:p>
        </w:tc>
      </w:tr>
      <w:tr w:rsidR="00EA7F37" w14:paraId="0EBC26D8" w14:textId="77777777" w:rsidTr="00EA7F37">
        <w:trPr>
          <w:trHeight w:val="594"/>
        </w:trPr>
        <w:tc>
          <w:tcPr>
            <w:tcW w:w="239" w:type="pct"/>
            <w:vMerge/>
          </w:tcPr>
          <w:p w14:paraId="70E0CF91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7B87DF7D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593FE479" w14:textId="4C859FD5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 xml:space="preserve">Clarté, exhaustivité et </w:t>
            </w:r>
            <w:r w:rsidR="00AC4D30">
              <w:rPr>
                <w:lang w:val="fr"/>
              </w:rPr>
              <w:t>solidité</w:t>
            </w:r>
            <w:r w:rsidRPr="007E16D4">
              <w:rPr>
                <w:b/>
                <w:bCs/>
                <w:lang w:val="fr"/>
              </w:rPr>
              <w:t xml:space="preserve"> de la stratégie de réplication</w:t>
            </w:r>
            <w:r>
              <w:rPr>
                <w:lang w:val="fr"/>
              </w:rPr>
              <w:t xml:space="preserve"> et de transfert de l’idée de conception même </w:t>
            </w:r>
            <w:r w:rsidRPr="007E16D4">
              <w:rPr>
                <w:u w:val="single"/>
                <w:lang w:val="fr"/>
              </w:rPr>
              <w:t>au-delà</w:t>
            </w:r>
            <w:r>
              <w:rPr>
                <w:lang w:val="fr"/>
              </w:rPr>
              <w:t xml:space="preserve"> des frontières nationales, mais toujours dans la zone transfrontalière</w:t>
            </w:r>
          </w:p>
        </w:tc>
        <w:tc>
          <w:tcPr>
            <w:tcW w:w="741" w:type="pct"/>
          </w:tcPr>
          <w:p w14:paraId="032CCBD4" w14:textId="031312B2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10</w:t>
            </w:r>
          </w:p>
        </w:tc>
        <w:tc>
          <w:tcPr>
            <w:tcW w:w="735" w:type="pct"/>
            <w:vMerge/>
          </w:tcPr>
          <w:p w14:paraId="68943DA2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1A0D63D8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A7F37" w14:paraId="244A2EA6" w14:textId="77777777" w:rsidTr="00EA7F37">
        <w:trPr>
          <w:trHeight w:val="442"/>
        </w:trPr>
        <w:tc>
          <w:tcPr>
            <w:tcW w:w="239" w:type="pct"/>
            <w:vMerge w:val="restart"/>
          </w:tcPr>
          <w:p w14:paraId="632AE9FC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5</w:t>
            </w:r>
          </w:p>
        </w:tc>
        <w:tc>
          <w:tcPr>
            <w:tcW w:w="852" w:type="pct"/>
            <w:vMerge w:val="restart"/>
          </w:tcPr>
          <w:p w14:paraId="005F4743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Dimension multipartite</w:t>
            </w:r>
          </w:p>
        </w:tc>
        <w:tc>
          <w:tcPr>
            <w:tcW w:w="1699" w:type="pct"/>
          </w:tcPr>
          <w:p w14:paraId="6B60A67F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 xml:space="preserve">Nombre et cohérence des </w:t>
            </w:r>
            <w:r w:rsidRPr="007E16D4">
              <w:rPr>
                <w:b/>
                <w:bCs/>
                <w:lang w:val="fr"/>
              </w:rPr>
              <w:t>collaborations interorganisationnelles liées</w:t>
            </w:r>
            <w:r>
              <w:rPr>
                <w:lang w:val="fr"/>
              </w:rPr>
              <w:t xml:space="preserve"> à la réalisation de la proposition de projet</w:t>
            </w:r>
          </w:p>
        </w:tc>
        <w:tc>
          <w:tcPr>
            <w:tcW w:w="741" w:type="pct"/>
          </w:tcPr>
          <w:p w14:paraId="75E04B19" w14:textId="54A2EA0B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12</w:t>
            </w:r>
          </w:p>
        </w:tc>
        <w:tc>
          <w:tcPr>
            <w:tcW w:w="735" w:type="pct"/>
            <w:vMerge/>
          </w:tcPr>
          <w:p w14:paraId="38ADECC0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 w:val="restart"/>
          </w:tcPr>
          <w:p w14:paraId="03606688" w14:textId="77777777" w:rsidR="00EA7F37" w:rsidRPr="007E16D4" w:rsidRDefault="00EA7F37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E16D4">
              <w:rPr>
                <w:b/>
                <w:bCs/>
                <w:lang w:val="fr"/>
              </w:rPr>
              <w:t>20</w:t>
            </w:r>
          </w:p>
        </w:tc>
      </w:tr>
      <w:tr w:rsidR="00EA7F37" w14:paraId="3DA452D1" w14:textId="77777777" w:rsidTr="00EA7F37">
        <w:trPr>
          <w:trHeight w:val="442"/>
        </w:trPr>
        <w:tc>
          <w:tcPr>
            <w:tcW w:w="239" w:type="pct"/>
            <w:vMerge/>
          </w:tcPr>
          <w:p w14:paraId="4CEC5578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  <w:vMerge/>
          </w:tcPr>
          <w:p w14:paraId="2197BB28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22C7CC24" w14:textId="17696DC0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Présence et clarté d’une stratégie d</w:t>
            </w:r>
            <w:r w:rsidR="00AC4D30">
              <w:rPr>
                <w:lang w:val="fr"/>
              </w:rPr>
              <w:t>’organisation</w:t>
            </w:r>
            <w:r w:rsidRPr="007E16D4">
              <w:rPr>
                <w:b/>
                <w:bCs/>
                <w:lang w:val="fr"/>
              </w:rPr>
              <w:t xml:space="preserve"> des parties prenantes</w:t>
            </w:r>
            <w:r>
              <w:rPr>
                <w:lang w:val="fr"/>
              </w:rPr>
              <w:t xml:space="preserve"> à la phase de mise en œuvre</w:t>
            </w:r>
          </w:p>
        </w:tc>
        <w:tc>
          <w:tcPr>
            <w:tcW w:w="741" w:type="pct"/>
          </w:tcPr>
          <w:p w14:paraId="65EF408A" w14:textId="659DCFEE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lang w:val="fr"/>
              </w:rPr>
              <w:t>jusqu’à 8</w:t>
            </w:r>
          </w:p>
        </w:tc>
        <w:tc>
          <w:tcPr>
            <w:tcW w:w="735" w:type="pct"/>
            <w:vMerge/>
          </w:tcPr>
          <w:p w14:paraId="268BE891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4" w:type="pct"/>
            <w:vMerge/>
          </w:tcPr>
          <w:p w14:paraId="6065D4DF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EA7F37" w14:paraId="73096BAD" w14:textId="77777777" w:rsidTr="00EA7F37">
        <w:trPr>
          <w:trHeight w:val="442"/>
        </w:trPr>
        <w:tc>
          <w:tcPr>
            <w:tcW w:w="239" w:type="pct"/>
          </w:tcPr>
          <w:p w14:paraId="2BEEFE5E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2" w:type="pct"/>
          </w:tcPr>
          <w:p w14:paraId="0AA118B2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pct"/>
          </w:tcPr>
          <w:p w14:paraId="613D0F26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41" w:type="pct"/>
          </w:tcPr>
          <w:p w14:paraId="7E7AFE44" w14:textId="77777777" w:rsidR="00EA7F37" w:rsidRDefault="00EA7F37" w:rsidP="00413117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5" w:type="pct"/>
          </w:tcPr>
          <w:p w14:paraId="4F797242" w14:textId="132B2888" w:rsidR="00EA7F37" w:rsidRPr="007E16D4" w:rsidRDefault="007E16D4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b/>
                <w:bCs/>
                <w:lang w:val="fr"/>
              </w:rPr>
              <w:t>7</w:t>
            </w:r>
            <w:r w:rsidR="006A03D5" w:rsidRPr="007E16D4">
              <w:rPr>
                <w:b/>
                <w:bCs/>
                <w:lang w:val="fr"/>
              </w:rPr>
              <w:t>0</w:t>
            </w:r>
          </w:p>
        </w:tc>
        <w:tc>
          <w:tcPr>
            <w:tcW w:w="734" w:type="pct"/>
          </w:tcPr>
          <w:p w14:paraId="01213C0D" w14:textId="4C0B06C7" w:rsidR="00EA7F37" w:rsidRPr="007E16D4" w:rsidRDefault="006A03D5" w:rsidP="007E16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E16D4">
              <w:rPr>
                <w:b/>
                <w:bCs/>
                <w:lang w:val="fr"/>
              </w:rPr>
              <w:t>130</w:t>
            </w:r>
          </w:p>
        </w:tc>
      </w:tr>
    </w:tbl>
    <w:p w14:paraId="2113E377" w14:textId="287BFD99" w:rsidR="00964B60" w:rsidRDefault="00964B60"/>
    <w:p w14:paraId="37BCB032" w14:textId="05F63F06" w:rsidR="006A03D5" w:rsidRDefault="006A03D5"/>
    <w:sectPr w:rsidR="006A03D5" w:rsidSect="00B456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D62"/>
    <w:multiLevelType w:val="hybridMultilevel"/>
    <w:tmpl w:val="7C4C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EA5"/>
    <w:multiLevelType w:val="hybridMultilevel"/>
    <w:tmpl w:val="00E0E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D82"/>
    <w:multiLevelType w:val="multilevel"/>
    <w:tmpl w:val="7C3A3B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29"/>
    <w:rsid w:val="00181306"/>
    <w:rsid w:val="00273A1B"/>
    <w:rsid w:val="002A2689"/>
    <w:rsid w:val="00316814"/>
    <w:rsid w:val="004C1459"/>
    <w:rsid w:val="0050756E"/>
    <w:rsid w:val="006A03D5"/>
    <w:rsid w:val="00740F52"/>
    <w:rsid w:val="007702F7"/>
    <w:rsid w:val="007964CB"/>
    <w:rsid w:val="007E16D4"/>
    <w:rsid w:val="009052A2"/>
    <w:rsid w:val="00964B60"/>
    <w:rsid w:val="009A2929"/>
    <w:rsid w:val="00AC4D30"/>
    <w:rsid w:val="00B24ACB"/>
    <w:rsid w:val="00B45683"/>
    <w:rsid w:val="00B45A23"/>
    <w:rsid w:val="00B80301"/>
    <w:rsid w:val="00C64C34"/>
    <w:rsid w:val="00EA7F37"/>
    <w:rsid w:val="00E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095A"/>
  <w15:chartTrackingRefBased/>
  <w15:docId w15:val="{8AD7DF58-CFA4-40C5-B52E-62515C5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29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A2929"/>
    <w:pPr>
      <w:spacing w:after="200" w:line="276" w:lineRule="auto"/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9A292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68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C4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cp:keywords/>
  <dc:description/>
  <cp:lastModifiedBy>TOURNIAIRE Marion</cp:lastModifiedBy>
  <cp:revision>1</cp:revision>
  <dcterms:created xsi:type="dcterms:W3CDTF">2020-11-03T08:16:00Z</dcterms:created>
  <dcterms:modified xsi:type="dcterms:W3CDTF">2020-11-06T13:09:00Z</dcterms:modified>
</cp:coreProperties>
</file>